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A24F8" w14:textId="77777777" w:rsidR="00A6248E" w:rsidRPr="00A6248E" w:rsidRDefault="00A6248E" w:rsidP="00A6248E">
      <w:pPr>
        <w:pStyle w:val="Ttulo2"/>
        <w:rPr>
          <w:sz w:val="40"/>
          <w:szCs w:val="40"/>
        </w:rPr>
      </w:pPr>
      <w:r w:rsidRPr="00A6248E">
        <w:rPr>
          <w:rFonts w:ascii="Arial" w:eastAsia="Arial" w:hAnsi="Arial" w:cs="Arial"/>
          <w:b/>
          <w:bCs/>
          <w:color w:val="0F6E56"/>
          <w:sz w:val="40"/>
          <w:szCs w:val="40"/>
        </w:rPr>
        <w:t>Evidencias de Desempeño</w:t>
      </w:r>
    </w:p>
    <w:p w14:paraId="7E091BD3" w14:textId="77777777" w:rsidR="00A6248E" w:rsidRDefault="00A6248E" w:rsidP="00A6248E">
      <w:pPr>
        <w:spacing w:after="160" w:line="320" w:lineRule="auto"/>
        <w:jc w:val="both"/>
      </w:pPr>
      <w:r>
        <w:rPr>
          <w:color w:val="000000"/>
        </w:rPr>
        <w:t>Las evidencias de desempeño son las que demuestran que el candidato sabe hacer la función en una situación real de trabajo. Se obtienen mediante observación directa del candidato mientras ejecuta la tarea.</w:t>
      </w:r>
    </w:p>
    <w:p w14:paraId="3E7D76C6" w14:textId="77777777" w:rsidR="00A6248E" w:rsidRDefault="00A6248E" w:rsidP="00A6248E">
      <w:pPr>
        <w:spacing w:after="160" w:line="320" w:lineRule="auto"/>
        <w:jc w:val="both"/>
      </w:pPr>
      <w:r>
        <w:rPr>
          <w:color w:val="000000"/>
        </w:rPr>
        <w:t>Son la fuente más valiosa del sistema: ninguna otra evidencia puede reemplazar ver al candidato haciendo el trabajo en condiciones reales. Su validez depende de que la situación observada corresponda efectivamente al campo de aplicación de la norma.</w:t>
      </w:r>
    </w:p>
    <w:p w14:paraId="6E424CFD" w14:textId="77777777" w:rsidR="00A6248E" w:rsidRDefault="00A6248E" w:rsidP="00A6248E">
      <w:pPr>
        <w:spacing w:before="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3400"/>
        <w:gridCol w:w="3226"/>
      </w:tblGrid>
      <w:tr w:rsidR="00A6248E" w14:paraId="2B59249A" w14:textId="77777777" w:rsidTr="000E46D4">
        <w:tblPrEx>
          <w:tblCellMar>
            <w:top w:w="0" w:type="dxa"/>
            <w:bottom w:w="0" w:type="dxa"/>
          </w:tblCellMar>
        </w:tblPrEx>
        <w:tc>
          <w:tcPr>
            <w:tcW w:w="2400" w:type="dxa"/>
            <w:tcBorders>
              <w:top w:val="single" w:sz="1" w:space="0" w:color="888888"/>
              <w:left w:val="single" w:sz="1" w:space="0" w:color="888888"/>
              <w:bottom w:val="single" w:sz="1" w:space="0" w:color="888888"/>
              <w:right w:val="single" w:sz="1" w:space="0" w:color="888888"/>
            </w:tcBorders>
            <w:shd w:val="clear" w:color="auto" w:fill="0F6E56"/>
            <w:tcMar>
              <w:top w:w="100" w:type="dxa"/>
              <w:left w:w="160" w:type="dxa"/>
              <w:bottom w:w="100" w:type="dxa"/>
              <w:right w:w="160" w:type="dxa"/>
            </w:tcMar>
          </w:tcPr>
          <w:p w14:paraId="0090758F" w14:textId="77777777" w:rsidR="00A6248E" w:rsidRDefault="00A6248E" w:rsidP="000E46D4">
            <w:pPr>
              <w:jc w:val="center"/>
            </w:pPr>
            <w:r>
              <w:rPr>
                <w:b/>
                <w:bCs/>
                <w:color w:val="FFFFFF"/>
                <w:sz w:val="21"/>
                <w:szCs w:val="21"/>
              </w:rPr>
              <w:t>Instrumento</w:t>
            </w:r>
          </w:p>
        </w:tc>
        <w:tc>
          <w:tcPr>
            <w:tcW w:w="3400" w:type="dxa"/>
            <w:tcBorders>
              <w:top w:val="single" w:sz="1" w:space="0" w:color="888888"/>
              <w:left w:val="single" w:sz="1" w:space="0" w:color="888888"/>
              <w:bottom w:val="single" w:sz="1" w:space="0" w:color="888888"/>
              <w:right w:val="single" w:sz="1" w:space="0" w:color="888888"/>
            </w:tcBorders>
            <w:shd w:val="clear" w:color="auto" w:fill="0F6E56"/>
            <w:tcMar>
              <w:top w:w="100" w:type="dxa"/>
              <w:left w:w="160" w:type="dxa"/>
              <w:bottom w:w="100" w:type="dxa"/>
              <w:right w:w="160" w:type="dxa"/>
            </w:tcMar>
          </w:tcPr>
          <w:p w14:paraId="40FA94F0" w14:textId="77777777" w:rsidR="00A6248E" w:rsidRDefault="00A6248E" w:rsidP="000E46D4">
            <w:pPr>
              <w:jc w:val="center"/>
            </w:pPr>
            <w:r>
              <w:rPr>
                <w:b/>
                <w:bCs/>
                <w:color w:val="FFFFFF"/>
                <w:sz w:val="21"/>
                <w:szCs w:val="21"/>
              </w:rPr>
              <w:t>Cómo funciona</w:t>
            </w:r>
          </w:p>
        </w:tc>
        <w:tc>
          <w:tcPr>
            <w:tcW w:w="3226" w:type="dxa"/>
            <w:tcBorders>
              <w:top w:val="single" w:sz="1" w:space="0" w:color="888888"/>
              <w:left w:val="single" w:sz="1" w:space="0" w:color="888888"/>
              <w:bottom w:val="single" w:sz="1" w:space="0" w:color="888888"/>
              <w:right w:val="single" w:sz="1" w:space="0" w:color="888888"/>
            </w:tcBorders>
            <w:shd w:val="clear" w:color="auto" w:fill="0F6E56"/>
            <w:tcMar>
              <w:top w:w="100" w:type="dxa"/>
              <w:left w:w="160" w:type="dxa"/>
              <w:bottom w:w="100" w:type="dxa"/>
              <w:right w:w="160" w:type="dxa"/>
            </w:tcMar>
          </w:tcPr>
          <w:p w14:paraId="6830988C" w14:textId="77777777" w:rsidR="00A6248E" w:rsidRDefault="00A6248E" w:rsidP="000E46D4">
            <w:pPr>
              <w:jc w:val="center"/>
            </w:pPr>
            <w:proofErr w:type="gramStart"/>
            <w:r>
              <w:rPr>
                <w:b/>
                <w:bCs/>
                <w:color w:val="FFFFFF"/>
                <w:sz w:val="21"/>
                <w:szCs w:val="21"/>
              </w:rPr>
              <w:t>Cuándo</w:t>
            </w:r>
            <w:proofErr w:type="gramEnd"/>
            <w:r>
              <w:rPr>
                <w:b/>
                <w:bCs/>
                <w:color w:val="FFFFFF"/>
                <w:sz w:val="21"/>
                <w:szCs w:val="21"/>
              </w:rPr>
              <w:t xml:space="preserve"> usarlo</w:t>
            </w:r>
          </w:p>
        </w:tc>
      </w:tr>
      <w:tr w:rsidR="00A6248E" w14:paraId="5270109E" w14:textId="77777777" w:rsidTr="000E46D4">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E1F5EE"/>
            <w:tcMar>
              <w:top w:w="80" w:type="dxa"/>
              <w:left w:w="160" w:type="dxa"/>
              <w:bottom w:w="80" w:type="dxa"/>
              <w:right w:w="160" w:type="dxa"/>
            </w:tcMar>
          </w:tcPr>
          <w:p w14:paraId="15DDF772" w14:textId="77777777" w:rsidR="00A6248E" w:rsidRDefault="00A6248E" w:rsidP="000E46D4">
            <w:r>
              <w:rPr>
                <w:b/>
                <w:bCs/>
                <w:color w:val="000000"/>
                <w:sz w:val="21"/>
                <w:szCs w:val="21"/>
              </w:rPr>
              <w:t>Lista de cotejo</w:t>
            </w:r>
          </w:p>
        </w:tc>
        <w:tc>
          <w:tcPr>
            <w:tcW w:w="3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80" w:type="dxa"/>
              <w:right w:w="160" w:type="dxa"/>
            </w:tcMar>
          </w:tcPr>
          <w:p w14:paraId="7F6A9F89" w14:textId="77777777" w:rsidR="00A6248E" w:rsidRDefault="00A6248E" w:rsidP="000E46D4">
            <w:r>
              <w:rPr>
                <w:color w:val="000000"/>
                <w:sz w:val="21"/>
                <w:szCs w:val="21"/>
              </w:rPr>
              <w:t>El evaluador marca sí/no para cada criterio de desempeño mientras observa al candidato. Un ítem por criterio.</w:t>
            </w:r>
          </w:p>
        </w:tc>
        <w:tc>
          <w:tcPr>
            <w:tcW w:w="32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80" w:type="dxa"/>
              <w:right w:w="160" w:type="dxa"/>
            </w:tcMar>
          </w:tcPr>
          <w:p w14:paraId="387743C8" w14:textId="77777777" w:rsidR="00A6248E" w:rsidRDefault="00A6248E" w:rsidP="000E46D4">
            <w:r>
              <w:rPr>
                <w:color w:val="000000"/>
                <w:sz w:val="21"/>
                <w:szCs w:val="21"/>
              </w:rPr>
              <w:t>Cuando el criterio se cumple o no se cumple, sin grados intermedios relevantes para el juicio.</w:t>
            </w:r>
          </w:p>
        </w:tc>
      </w:tr>
      <w:tr w:rsidR="00A6248E" w14:paraId="4D60F9E0" w14:textId="77777777" w:rsidTr="000E46D4">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E1F5EE"/>
            <w:tcMar>
              <w:top w:w="80" w:type="dxa"/>
              <w:left w:w="160" w:type="dxa"/>
              <w:bottom w:w="80" w:type="dxa"/>
              <w:right w:w="160" w:type="dxa"/>
            </w:tcMar>
          </w:tcPr>
          <w:p w14:paraId="303A69BF" w14:textId="77777777" w:rsidR="00A6248E" w:rsidRDefault="00A6248E" w:rsidP="000E46D4">
            <w:r>
              <w:rPr>
                <w:b/>
                <w:bCs/>
                <w:color w:val="000000"/>
                <w:sz w:val="21"/>
                <w:szCs w:val="21"/>
              </w:rPr>
              <w:t>Escala de estimación</w:t>
            </w:r>
          </w:p>
        </w:tc>
        <w:tc>
          <w:tcPr>
            <w:tcW w:w="3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80" w:type="dxa"/>
              <w:right w:w="160" w:type="dxa"/>
            </w:tcMar>
          </w:tcPr>
          <w:p w14:paraId="4BF790E3" w14:textId="77777777" w:rsidR="00A6248E" w:rsidRDefault="00A6248E" w:rsidP="000E46D4">
            <w:r>
              <w:rPr>
                <w:color w:val="000000"/>
                <w:sz w:val="21"/>
                <w:szCs w:val="21"/>
              </w:rPr>
              <w:t>El evaluador asigna un valor 1–4 por criterio, con descriptores conductuales anclados para cada nivel.</w:t>
            </w:r>
          </w:p>
        </w:tc>
        <w:tc>
          <w:tcPr>
            <w:tcW w:w="32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80" w:type="dxa"/>
              <w:right w:w="160" w:type="dxa"/>
            </w:tcMar>
          </w:tcPr>
          <w:p w14:paraId="737E3FC2" w14:textId="77777777" w:rsidR="00A6248E" w:rsidRDefault="00A6248E" w:rsidP="000E46D4">
            <w:r>
              <w:rPr>
                <w:color w:val="000000"/>
                <w:sz w:val="21"/>
                <w:szCs w:val="21"/>
              </w:rPr>
              <w:t>Cuando la calidad del desempeño admite graduaciones relevantes para el juicio.</w:t>
            </w:r>
          </w:p>
        </w:tc>
      </w:tr>
      <w:tr w:rsidR="00A6248E" w14:paraId="229150B2" w14:textId="77777777" w:rsidTr="000E46D4">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E1F5EE"/>
            <w:tcMar>
              <w:top w:w="80" w:type="dxa"/>
              <w:left w:w="160" w:type="dxa"/>
              <w:bottom w:w="80" w:type="dxa"/>
              <w:right w:w="160" w:type="dxa"/>
            </w:tcMar>
          </w:tcPr>
          <w:p w14:paraId="1C5EDEB8" w14:textId="77777777" w:rsidR="00A6248E" w:rsidRDefault="00A6248E" w:rsidP="000E46D4">
            <w:r>
              <w:rPr>
                <w:b/>
                <w:bCs/>
                <w:color w:val="000000"/>
                <w:sz w:val="21"/>
                <w:szCs w:val="21"/>
              </w:rPr>
              <w:t>Registro de incidentes críticos</w:t>
            </w:r>
          </w:p>
        </w:tc>
        <w:tc>
          <w:tcPr>
            <w:tcW w:w="3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80" w:type="dxa"/>
              <w:right w:w="160" w:type="dxa"/>
            </w:tcMar>
          </w:tcPr>
          <w:p w14:paraId="7E92F23C" w14:textId="77777777" w:rsidR="00A6248E" w:rsidRDefault="00A6248E" w:rsidP="000E46D4">
            <w:r>
              <w:rPr>
                <w:color w:val="000000"/>
                <w:sz w:val="21"/>
                <w:szCs w:val="21"/>
              </w:rPr>
              <w:t>Registro narrativo de situaciones específicas que evidencian el cumplimiento o falla de criterios esenciales.</w:t>
            </w:r>
          </w:p>
        </w:tc>
        <w:tc>
          <w:tcPr>
            <w:tcW w:w="32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80" w:type="dxa"/>
              <w:right w:w="160" w:type="dxa"/>
            </w:tcMar>
          </w:tcPr>
          <w:p w14:paraId="6663ED3E" w14:textId="77777777" w:rsidR="00A6248E" w:rsidRDefault="00A6248E" w:rsidP="000E46D4">
            <w:r>
              <w:rPr>
                <w:color w:val="000000"/>
                <w:sz w:val="21"/>
                <w:szCs w:val="21"/>
              </w:rPr>
              <w:t>Como complemento de los anteriores, cuando ocurren situaciones no previstas relevantes para el juicio.</w:t>
            </w:r>
          </w:p>
        </w:tc>
      </w:tr>
    </w:tbl>
    <w:p w14:paraId="3BD18917" w14:textId="77777777" w:rsidR="00A6248E" w:rsidRDefault="00A6248E" w:rsidP="00A6248E">
      <w:pPr>
        <w:spacing w:before="1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A6248E" w14:paraId="3D83EABB" w14:textId="77777777" w:rsidTr="000E46D4">
        <w:tblPrEx>
          <w:tblCellMar>
            <w:top w:w="0" w:type="dxa"/>
            <w:bottom w:w="0" w:type="dxa"/>
          </w:tblCellMar>
        </w:tblPrEx>
        <w:tc>
          <w:tcPr>
            <w:tcW w:w="9026" w:type="dxa"/>
            <w:tcBorders>
              <w:top w:val="single" w:sz="1" w:space="0" w:color="185FA5"/>
              <w:left w:val="single" w:sz="1" w:space="0" w:color="185FA5"/>
              <w:bottom w:val="single" w:sz="1" w:space="0" w:color="185FA5"/>
              <w:right w:val="single" w:sz="1" w:space="0" w:color="185FA5"/>
            </w:tcBorders>
            <w:shd w:val="clear" w:color="auto" w:fill="E6F1FB"/>
            <w:tcMar>
              <w:top w:w="120" w:type="dxa"/>
              <w:left w:w="200" w:type="dxa"/>
              <w:bottom w:w="100" w:type="dxa"/>
              <w:right w:w="200" w:type="dxa"/>
            </w:tcMar>
          </w:tcPr>
          <w:p w14:paraId="70851BAF" w14:textId="77777777" w:rsidR="00A6248E" w:rsidRDefault="00A6248E" w:rsidP="000E46D4">
            <w:r>
              <w:rPr>
                <w:b/>
                <w:bCs/>
                <w:color w:val="185FA5"/>
                <w:sz w:val="24"/>
                <w:szCs w:val="24"/>
              </w:rPr>
              <w:t>Ejemplo</w:t>
            </w:r>
          </w:p>
        </w:tc>
      </w:tr>
      <w:tr w:rsidR="00A6248E" w14:paraId="502D3DB4" w14:textId="77777777" w:rsidTr="000E46D4">
        <w:tblPrEx>
          <w:tblCellMar>
            <w:top w:w="0" w:type="dxa"/>
            <w:bottom w:w="0" w:type="dxa"/>
          </w:tblCellMar>
        </w:tblPrEx>
        <w:tc>
          <w:tcPr>
            <w:tcW w:w="9026" w:type="dxa"/>
            <w:tcBorders>
              <w:top w:val="nil"/>
              <w:left w:val="single" w:sz="1" w:space="0" w:color="185FA5"/>
              <w:bottom w:val="nil"/>
              <w:right w:val="single" w:sz="1" w:space="0" w:color="185FA5"/>
            </w:tcBorders>
            <w:shd w:val="clear" w:color="auto" w:fill="FFFFFF"/>
            <w:tcMar>
              <w:top w:w="60" w:type="dxa"/>
              <w:left w:w="200" w:type="dxa"/>
              <w:bottom w:w="60" w:type="dxa"/>
              <w:right w:w="200" w:type="dxa"/>
            </w:tcMar>
          </w:tcPr>
          <w:p w14:paraId="08D0DFFA" w14:textId="77777777" w:rsidR="00A6248E" w:rsidRDefault="00A6248E" w:rsidP="000E46D4">
            <w:pPr>
              <w:spacing w:before="40" w:after="40"/>
            </w:pPr>
            <w:r>
              <w:rPr>
                <w:color w:val="000000"/>
                <w:sz w:val="21"/>
                <w:szCs w:val="21"/>
              </w:rPr>
              <w:t>El evaluador observa al candidato aplicando pintura con rodillo en una pared interior.</w:t>
            </w:r>
          </w:p>
        </w:tc>
      </w:tr>
      <w:tr w:rsidR="00A6248E" w14:paraId="41AECF9A" w14:textId="77777777" w:rsidTr="000E46D4">
        <w:tblPrEx>
          <w:tblCellMar>
            <w:top w:w="0" w:type="dxa"/>
            <w:bottom w:w="0" w:type="dxa"/>
          </w:tblCellMar>
        </w:tblPrEx>
        <w:tc>
          <w:tcPr>
            <w:tcW w:w="9026" w:type="dxa"/>
            <w:tcBorders>
              <w:top w:val="nil"/>
              <w:left w:val="single" w:sz="1" w:space="0" w:color="185FA5"/>
              <w:bottom w:val="nil"/>
              <w:right w:val="single" w:sz="1" w:space="0" w:color="185FA5"/>
            </w:tcBorders>
            <w:shd w:val="clear" w:color="auto" w:fill="FFFFFF"/>
            <w:tcMar>
              <w:top w:w="60" w:type="dxa"/>
              <w:left w:w="200" w:type="dxa"/>
              <w:bottom w:w="60" w:type="dxa"/>
              <w:right w:w="200" w:type="dxa"/>
            </w:tcMar>
          </w:tcPr>
          <w:p w14:paraId="72A511F5" w14:textId="77777777" w:rsidR="00A6248E" w:rsidRDefault="00A6248E" w:rsidP="000E46D4">
            <w:pPr>
              <w:spacing w:before="40" w:after="40"/>
            </w:pPr>
            <w:r>
              <w:rPr>
                <w:color w:val="000000"/>
                <w:sz w:val="21"/>
                <w:szCs w:val="21"/>
              </w:rPr>
              <w:t>Aplica la lista de cotejo: verifica espesor uniforme, ausencia de escurrimientos, selección correcta del rodillo,</w:t>
            </w:r>
          </w:p>
        </w:tc>
      </w:tr>
      <w:tr w:rsidR="00A6248E" w14:paraId="5D881B8E" w14:textId="77777777" w:rsidTr="000E46D4">
        <w:tblPrEx>
          <w:tblCellMar>
            <w:top w:w="0" w:type="dxa"/>
            <w:bottom w:w="0" w:type="dxa"/>
          </w:tblCellMar>
        </w:tblPrEx>
        <w:tc>
          <w:tcPr>
            <w:tcW w:w="9026" w:type="dxa"/>
            <w:tcBorders>
              <w:top w:val="nil"/>
              <w:left w:val="single" w:sz="1" w:space="0" w:color="185FA5"/>
              <w:bottom w:val="nil"/>
              <w:right w:val="single" w:sz="1" w:space="0" w:color="185FA5"/>
            </w:tcBorders>
            <w:shd w:val="clear" w:color="auto" w:fill="FFFFFF"/>
            <w:tcMar>
              <w:top w:w="60" w:type="dxa"/>
              <w:left w:w="200" w:type="dxa"/>
              <w:bottom w:w="60" w:type="dxa"/>
              <w:right w:w="200" w:type="dxa"/>
            </w:tcMar>
          </w:tcPr>
          <w:p w14:paraId="6A5F1A7D" w14:textId="77777777" w:rsidR="00A6248E" w:rsidRDefault="00A6248E" w:rsidP="000E46D4">
            <w:pPr>
              <w:spacing w:before="40" w:after="40"/>
            </w:pPr>
            <w:r>
              <w:rPr>
                <w:color w:val="000000"/>
                <w:sz w:val="21"/>
                <w:szCs w:val="21"/>
              </w:rPr>
              <w:t>cobertura completa sin zonas sin pintar, limpieza del área al finalizar.</w:t>
            </w:r>
          </w:p>
        </w:tc>
      </w:tr>
      <w:tr w:rsidR="00A6248E" w14:paraId="1846967F" w14:textId="77777777" w:rsidTr="000E46D4">
        <w:tblPrEx>
          <w:tblCellMar>
            <w:top w:w="0" w:type="dxa"/>
            <w:bottom w:w="0" w:type="dxa"/>
          </w:tblCellMar>
        </w:tblPrEx>
        <w:tc>
          <w:tcPr>
            <w:tcW w:w="9026" w:type="dxa"/>
            <w:tcBorders>
              <w:top w:val="nil"/>
              <w:left w:val="single" w:sz="1" w:space="0" w:color="185FA5"/>
              <w:bottom w:val="single" w:sz="1" w:space="0" w:color="185FA5"/>
              <w:right w:val="single" w:sz="1" w:space="0" w:color="185FA5"/>
            </w:tcBorders>
            <w:shd w:val="clear" w:color="auto" w:fill="FFFFFF"/>
            <w:tcMar>
              <w:top w:w="60" w:type="dxa"/>
              <w:left w:w="200" w:type="dxa"/>
              <w:bottom w:w="60" w:type="dxa"/>
              <w:right w:w="200" w:type="dxa"/>
            </w:tcMar>
          </w:tcPr>
          <w:p w14:paraId="4995F0E0" w14:textId="77777777" w:rsidR="00A6248E" w:rsidRDefault="00A6248E" w:rsidP="000E46D4">
            <w:pPr>
              <w:spacing w:before="40" w:after="40"/>
            </w:pPr>
            <w:r>
              <w:rPr>
                <w:color w:val="000000"/>
                <w:sz w:val="21"/>
                <w:szCs w:val="21"/>
              </w:rPr>
              <w:t>Cada ítem corresponde directamente a un criterio de desempeño del Elemento 2.1.</w:t>
            </w:r>
          </w:p>
        </w:tc>
      </w:tr>
    </w:tbl>
    <w:p w14:paraId="126D911F" w14:textId="77777777" w:rsidR="00247996" w:rsidRDefault="00247996"/>
    <w:sectPr w:rsidR="0024799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48E"/>
    <w:rsid w:val="00247996"/>
    <w:rsid w:val="00410D14"/>
    <w:rsid w:val="009F7DB0"/>
    <w:rsid w:val="00A6248E"/>
    <w:rsid w:val="00BA13E8"/>
    <w:rsid w:val="00D620A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14384"/>
  <w15:chartTrackingRefBased/>
  <w15:docId w15:val="{573312D6-83B0-4530-A39F-B0E474DF3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48E"/>
    <w:pPr>
      <w:spacing w:after="0" w:line="240" w:lineRule="auto"/>
    </w:pPr>
    <w:rPr>
      <w:rFonts w:ascii="Arial" w:eastAsia="Arial" w:hAnsi="Arial" w:cs="Arial"/>
      <w:kern w:val="0"/>
      <w:lang w:eastAsia="es-PE"/>
      <w14:ligatures w14:val="none"/>
    </w:rPr>
  </w:style>
  <w:style w:type="paragraph" w:styleId="Ttulo1">
    <w:name w:val="heading 1"/>
    <w:basedOn w:val="Normal"/>
    <w:next w:val="Normal"/>
    <w:link w:val="Ttulo1Car"/>
    <w:uiPriority w:val="9"/>
    <w:qFormat/>
    <w:rsid w:val="00A6248E"/>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Ttulo2">
    <w:name w:val="heading 2"/>
    <w:basedOn w:val="Normal"/>
    <w:next w:val="Normal"/>
    <w:link w:val="Ttulo2Car"/>
    <w:uiPriority w:val="9"/>
    <w:unhideWhenUsed/>
    <w:qFormat/>
    <w:rsid w:val="00A6248E"/>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Ttulo3">
    <w:name w:val="heading 3"/>
    <w:basedOn w:val="Normal"/>
    <w:next w:val="Normal"/>
    <w:link w:val="Ttulo3Car"/>
    <w:uiPriority w:val="9"/>
    <w:semiHidden/>
    <w:unhideWhenUsed/>
    <w:qFormat/>
    <w:rsid w:val="00A6248E"/>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Ttulo4">
    <w:name w:val="heading 4"/>
    <w:basedOn w:val="Normal"/>
    <w:next w:val="Normal"/>
    <w:link w:val="Ttulo4Car"/>
    <w:uiPriority w:val="9"/>
    <w:semiHidden/>
    <w:unhideWhenUsed/>
    <w:qFormat/>
    <w:rsid w:val="00A6248E"/>
    <w:pPr>
      <w:keepNext/>
      <w:keepLines/>
      <w:spacing w:before="80" w:after="40" w:line="259" w:lineRule="auto"/>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Ttulo5">
    <w:name w:val="heading 5"/>
    <w:basedOn w:val="Normal"/>
    <w:next w:val="Normal"/>
    <w:link w:val="Ttulo5Car"/>
    <w:uiPriority w:val="9"/>
    <w:semiHidden/>
    <w:unhideWhenUsed/>
    <w:qFormat/>
    <w:rsid w:val="00A6248E"/>
    <w:pPr>
      <w:keepNext/>
      <w:keepLines/>
      <w:spacing w:before="80" w:after="40" w:line="259" w:lineRule="auto"/>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Ttulo6">
    <w:name w:val="heading 6"/>
    <w:basedOn w:val="Normal"/>
    <w:next w:val="Normal"/>
    <w:link w:val="Ttulo6Car"/>
    <w:uiPriority w:val="9"/>
    <w:semiHidden/>
    <w:unhideWhenUsed/>
    <w:qFormat/>
    <w:rsid w:val="00A6248E"/>
    <w:pPr>
      <w:keepNext/>
      <w:keepLines/>
      <w:spacing w:before="40" w:line="259"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tulo7">
    <w:name w:val="heading 7"/>
    <w:basedOn w:val="Normal"/>
    <w:next w:val="Normal"/>
    <w:link w:val="Ttulo7Car"/>
    <w:uiPriority w:val="9"/>
    <w:semiHidden/>
    <w:unhideWhenUsed/>
    <w:qFormat/>
    <w:rsid w:val="00A6248E"/>
    <w:pPr>
      <w:keepNext/>
      <w:keepLines/>
      <w:spacing w:before="40" w:line="259"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tulo8">
    <w:name w:val="heading 8"/>
    <w:basedOn w:val="Normal"/>
    <w:next w:val="Normal"/>
    <w:link w:val="Ttulo8Car"/>
    <w:uiPriority w:val="9"/>
    <w:semiHidden/>
    <w:unhideWhenUsed/>
    <w:qFormat/>
    <w:rsid w:val="00A6248E"/>
    <w:pPr>
      <w:keepNext/>
      <w:keepLines/>
      <w:spacing w:line="259"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tulo9">
    <w:name w:val="heading 9"/>
    <w:basedOn w:val="Normal"/>
    <w:next w:val="Normal"/>
    <w:link w:val="Ttulo9Car"/>
    <w:uiPriority w:val="9"/>
    <w:semiHidden/>
    <w:unhideWhenUsed/>
    <w:qFormat/>
    <w:rsid w:val="00A6248E"/>
    <w:pPr>
      <w:keepNext/>
      <w:keepLines/>
      <w:spacing w:line="259"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6248E"/>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A6248E"/>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A6248E"/>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A6248E"/>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A6248E"/>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A6248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6248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6248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6248E"/>
    <w:rPr>
      <w:rFonts w:eastAsiaTheme="majorEastAsia" w:cstheme="majorBidi"/>
      <w:color w:val="272727" w:themeColor="text1" w:themeTint="D8"/>
    </w:rPr>
  </w:style>
  <w:style w:type="paragraph" w:styleId="Ttulo">
    <w:name w:val="Title"/>
    <w:basedOn w:val="Normal"/>
    <w:next w:val="Normal"/>
    <w:link w:val="TtuloCar"/>
    <w:uiPriority w:val="10"/>
    <w:qFormat/>
    <w:rsid w:val="00A6248E"/>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ar">
    <w:name w:val="Título Car"/>
    <w:basedOn w:val="Fuentedeprrafopredeter"/>
    <w:link w:val="Ttulo"/>
    <w:uiPriority w:val="10"/>
    <w:rsid w:val="00A6248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6248E"/>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ar">
    <w:name w:val="Subtítulo Car"/>
    <w:basedOn w:val="Fuentedeprrafopredeter"/>
    <w:link w:val="Subttulo"/>
    <w:uiPriority w:val="11"/>
    <w:rsid w:val="00A6248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6248E"/>
    <w:pPr>
      <w:spacing w:before="160" w:after="160" w:line="259"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Car">
    <w:name w:val="Cita Car"/>
    <w:basedOn w:val="Fuentedeprrafopredeter"/>
    <w:link w:val="Cita"/>
    <w:uiPriority w:val="29"/>
    <w:rsid w:val="00A6248E"/>
    <w:rPr>
      <w:i/>
      <w:iCs/>
      <w:color w:val="404040" w:themeColor="text1" w:themeTint="BF"/>
    </w:rPr>
  </w:style>
  <w:style w:type="paragraph" w:styleId="Prrafodelista">
    <w:name w:val="List Paragraph"/>
    <w:basedOn w:val="Normal"/>
    <w:uiPriority w:val="34"/>
    <w:qFormat/>
    <w:rsid w:val="00A6248E"/>
    <w:pPr>
      <w:spacing w:after="160" w:line="259" w:lineRule="auto"/>
      <w:ind w:left="720"/>
      <w:contextualSpacing/>
    </w:pPr>
    <w:rPr>
      <w:rFonts w:asciiTheme="minorHAnsi" w:eastAsiaTheme="minorHAnsi" w:hAnsiTheme="minorHAnsi" w:cstheme="minorBidi"/>
      <w:kern w:val="2"/>
      <w:lang w:eastAsia="en-US"/>
      <w14:ligatures w14:val="standardContextual"/>
    </w:rPr>
  </w:style>
  <w:style w:type="character" w:styleId="nfasisintenso">
    <w:name w:val="Intense Emphasis"/>
    <w:basedOn w:val="Fuentedeprrafopredeter"/>
    <w:uiPriority w:val="21"/>
    <w:qFormat/>
    <w:rsid w:val="00A6248E"/>
    <w:rPr>
      <w:i/>
      <w:iCs/>
      <w:color w:val="2F5496" w:themeColor="accent1" w:themeShade="BF"/>
    </w:rPr>
  </w:style>
  <w:style w:type="paragraph" w:styleId="Citadestacada">
    <w:name w:val="Intense Quote"/>
    <w:basedOn w:val="Normal"/>
    <w:next w:val="Normal"/>
    <w:link w:val="CitadestacadaCar"/>
    <w:uiPriority w:val="30"/>
    <w:qFormat/>
    <w:rsid w:val="00A6248E"/>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CitadestacadaCar">
    <w:name w:val="Cita destacada Car"/>
    <w:basedOn w:val="Fuentedeprrafopredeter"/>
    <w:link w:val="Citadestacada"/>
    <w:uiPriority w:val="30"/>
    <w:rsid w:val="00A6248E"/>
    <w:rPr>
      <w:i/>
      <w:iCs/>
      <w:color w:val="2F5496" w:themeColor="accent1" w:themeShade="BF"/>
    </w:rPr>
  </w:style>
  <w:style w:type="character" w:styleId="Referenciaintensa">
    <w:name w:val="Intense Reference"/>
    <w:basedOn w:val="Fuentedeprrafopredeter"/>
    <w:uiPriority w:val="32"/>
    <w:qFormat/>
    <w:rsid w:val="00A6248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MOISES</dc:creator>
  <cp:keywords/>
  <dc:description/>
  <cp:lastModifiedBy>MOISES</cp:lastModifiedBy>
  <cp:revision>1</cp:revision>
  <dcterms:created xsi:type="dcterms:W3CDTF">2026-04-17T15:40:00Z</dcterms:created>
  <dcterms:modified xsi:type="dcterms:W3CDTF">2026-04-17T15:40:00Z</dcterms:modified>
</cp:coreProperties>
</file>