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C2704" w14:paraId="008C4592" w14:textId="77777777" w:rsidTr="000E46D4">
        <w:tblPrEx>
          <w:tblCellMar>
            <w:top w:w="0" w:type="dxa"/>
            <w:bottom w:w="0" w:type="dxa"/>
          </w:tblCellMar>
        </w:tblPrEx>
        <w:tc>
          <w:tcPr>
            <w:tcW w:w="9026" w:type="dxa"/>
            <w:tcBorders>
              <w:top w:val="nil"/>
              <w:left w:val="nil"/>
              <w:bottom w:val="nil"/>
              <w:right w:val="nil"/>
            </w:tcBorders>
            <w:shd w:val="clear" w:color="auto" w:fill="854F0B"/>
            <w:tcMar>
              <w:top w:w="120" w:type="dxa"/>
              <w:left w:w="300" w:type="dxa"/>
              <w:bottom w:w="120" w:type="dxa"/>
              <w:right w:w="300" w:type="dxa"/>
            </w:tcMar>
          </w:tcPr>
          <w:p w14:paraId="12F29D61" w14:textId="08915D2C" w:rsidR="00CC2704" w:rsidRPr="00CC2704" w:rsidRDefault="00CC2704" w:rsidP="000E46D4">
            <w:pPr>
              <w:jc w:val="center"/>
              <w:rPr>
                <w:sz w:val="40"/>
                <w:szCs w:val="40"/>
              </w:rPr>
            </w:pPr>
            <w:r w:rsidRPr="00CC2704">
              <w:rPr>
                <w:b/>
                <w:bCs/>
                <w:color w:val="FFFFFF"/>
                <w:sz w:val="40"/>
                <w:szCs w:val="40"/>
              </w:rPr>
              <w:t>Guía de Evaluación</w:t>
            </w:r>
          </w:p>
        </w:tc>
      </w:tr>
    </w:tbl>
    <w:p w14:paraId="20558F6A" w14:textId="77777777" w:rsidR="00CC2704" w:rsidRDefault="00CC2704" w:rsidP="00CC2704">
      <w:pPr>
        <w:spacing w:before="200"/>
      </w:pPr>
    </w:p>
    <w:p w14:paraId="0D6B90C8" w14:textId="77777777" w:rsidR="00CC2704" w:rsidRDefault="00CC2704" w:rsidP="00CC2704">
      <w:pPr>
        <w:pStyle w:val="Ttulo2"/>
      </w:pPr>
      <w:r>
        <w:rPr>
          <w:rFonts w:ascii="Arial" w:eastAsia="Arial" w:hAnsi="Arial" w:cs="Arial"/>
          <w:b/>
          <w:bCs/>
          <w:color w:val="0F6E56"/>
          <w:sz w:val="26"/>
          <w:szCs w:val="26"/>
        </w:rPr>
        <w:t>¿Qué es?</w:t>
      </w:r>
    </w:p>
    <w:p w14:paraId="729DFB44" w14:textId="77777777" w:rsidR="00CC2704" w:rsidRDefault="00CC2704" w:rsidP="00CC2704">
      <w:pPr>
        <w:spacing w:after="160" w:line="320" w:lineRule="auto"/>
        <w:jc w:val="both"/>
      </w:pPr>
      <w:r>
        <w:rPr>
          <w:color w:val="000000"/>
        </w:rPr>
        <w:t>La guía de evaluación es el componente de la NCL que traduce la norma en un plan de acción para el evaluador. Especifica cómo debe recolectarse la evidencia, con qué instrumentos, bajo qué condiciones y con qué peso relativo para cada fuente.</w:t>
      </w:r>
    </w:p>
    <w:p w14:paraId="31BD6783" w14:textId="77777777" w:rsidR="00CC2704" w:rsidRDefault="00CC2704" w:rsidP="00CC2704">
      <w:pPr>
        <w:spacing w:after="160" w:line="320" w:lineRule="auto"/>
        <w:jc w:val="both"/>
      </w:pPr>
      <w:r>
        <w:rPr>
          <w:color w:val="000000"/>
        </w:rPr>
        <w:t>Es el puente entre la norma (qué se evalúa) y el proceso de evaluación (cómo se evalúa). Sin la guía, el evaluador tendría que inferir por su cuenta cómo operacionalizar los criterios, lo que rompería la confiabilidad del sistema.</w:t>
      </w:r>
    </w:p>
    <w:p w14:paraId="4A38DBF0" w14:textId="77777777" w:rsidR="00CC2704" w:rsidRDefault="00CC2704" w:rsidP="00CC2704">
      <w:pPr>
        <w:spacing w:before="80"/>
      </w:pPr>
    </w:p>
    <w:p w14:paraId="025A6DBE" w14:textId="77777777" w:rsidR="00CC2704" w:rsidRDefault="00CC2704" w:rsidP="00CC2704">
      <w:pPr>
        <w:pStyle w:val="Ttulo2"/>
      </w:pPr>
      <w:r>
        <w:rPr>
          <w:rFonts w:ascii="Arial" w:eastAsia="Arial" w:hAnsi="Arial" w:cs="Arial"/>
          <w:b/>
          <w:bCs/>
          <w:color w:val="0F6E56"/>
          <w:sz w:val="26"/>
          <w:szCs w:val="26"/>
        </w:rPr>
        <w:t>¿Qué contiene?</w:t>
      </w:r>
    </w:p>
    <w:p w14:paraId="6230C68C" w14:textId="77777777" w:rsidR="00CC2704" w:rsidRDefault="00CC2704" w:rsidP="00CC270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CC2704" w14:paraId="558BF23C" w14:textId="77777777" w:rsidTr="000E46D4">
        <w:tblPrEx>
          <w:tblCellMar>
            <w:top w:w="0" w:type="dxa"/>
            <w:bottom w:w="0" w:type="dxa"/>
          </w:tblCellMar>
        </w:tblPrEx>
        <w:tc>
          <w:tcPr>
            <w:tcW w:w="2400" w:type="dxa"/>
            <w:tcBorders>
              <w:top w:val="single" w:sz="1" w:space="0" w:color="888888"/>
              <w:left w:val="single" w:sz="1" w:space="0" w:color="888888"/>
              <w:bottom w:val="single" w:sz="1" w:space="0" w:color="888888"/>
              <w:right w:val="single" w:sz="1" w:space="0" w:color="888888"/>
            </w:tcBorders>
            <w:shd w:val="clear" w:color="auto" w:fill="854F0B"/>
            <w:tcMar>
              <w:top w:w="100" w:type="dxa"/>
              <w:left w:w="160" w:type="dxa"/>
              <w:bottom w:w="100" w:type="dxa"/>
              <w:right w:w="160" w:type="dxa"/>
            </w:tcMar>
          </w:tcPr>
          <w:p w14:paraId="043DCF5E" w14:textId="77777777" w:rsidR="00CC2704" w:rsidRDefault="00CC2704" w:rsidP="000E46D4">
            <w:pPr>
              <w:jc w:val="center"/>
            </w:pPr>
            <w:r>
              <w:rPr>
                <w:b/>
                <w:bCs/>
                <w:color w:val="FFFFFF"/>
                <w:sz w:val="21"/>
                <w:szCs w:val="21"/>
              </w:rPr>
              <w:t>Componente</w:t>
            </w:r>
          </w:p>
        </w:tc>
        <w:tc>
          <w:tcPr>
            <w:tcW w:w="6626" w:type="dxa"/>
            <w:tcBorders>
              <w:top w:val="single" w:sz="1" w:space="0" w:color="888888"/>
              <w:left w:val="single" w:sz="1" w:space="0" w:color="888888"/>
              <w:bottom w:val="single" w:sz="1" w:space="0" w:color="888888"/>
              <w:right w:val="single" w:sz="1" w:space="0" w:color="888888"/>
            </w:tcBorders>
            <w:shd w:val="clear" w:color="auto" w:fill="854F0B"/>
            <w:tcMar>
              <w:top w:w="100" w:type="dxa"/>
              <w:left w:w="160" w:type="dxa"/>
              <w:bottom w:w="100" w:type="dxa"/>
              <w:right w:w="160" w:type="dxa"/>
            </w:tcMar>
          </w:tcPr>
          <w:p w14:paraId="5248FFD8" w14:textId="77777777" w:rsidR="00CC2704" w:rsidRDefault="00CC2704" w:rsidP="000E46D4">
            <w:pPr>
              <w:jc w:val="center"/>
            </w:pPr>
            <w:r>
              <w:rPr>
                <w:b/>
                <w:bCs/>
                <w:color w:val="FFFFFF"/>
                <w:sz w:val="21"/>
                <w:szCs w:val="21"/>
              </w:rPr>
              <w:t>Descripción</w:t>
            </w:r>
          </w:p>
        </w:tc>
      </w:tr>
      <w:tr w:rsidR="00CC2704" w14:paraId="2C931A44"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EEDA"/>
            <w:tcMar>
              <w:top w:w="80" w:type="dxa"/>
              <w:left w:w="160" w:type="dxa"/>
              <w:bottom w:w="80" w:type="dxa"/>
              <w:right w:w="160" w:type="dxa"/>
            </w:tcMar>
          </w:tcPr>
          <w:p w14:paraId="74D8CFCB" w14:textId="77777777" w:rsidR="00CC2704" w:rsidRDefault="00CC2704" w:rsidP="000E46D4">
            <w:r>
              <w:rPr>
                <w:b/>
                <w:bCs/>
                <w:color w:val="000000"/>
                <w:sz w:val="21"/>
                <w:szCs w:val="21"/>
              </w:rPr>
              <w:t>Instrumentos por evidencia</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CA8A372" w14:textId="77777777" w:rsidR="00CC2704" w:rsidRDefault="00CC2704" w:rsidP="000E46D4">
            <w:r>
              <w:rPr>
                <w:color w:val="000000"/>
                <w:sz w:val="21"/>
                <w:szCs w:val="21"/>
              </w:rPr>
              <w:t>Especifica qué instrumento usar para recolectar cada tipo de evidencia: lista de cotejo, escala de estimación, rúbrica, prueba escrita, entrevista, etc.</w:t>
            </w:r>
          </w:p>
        </w:tc>
      </w:tr>
      <w:tr w:rsidR="00CC2704" w14:paraId="2ED0A26E"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EEDA"/>
            <w:tcMar>
              <w:top w:w="80" w:type="dxa"/>
              <w:left w:w="160" w:type="dxa"/>
              <w:bottom w:w="80" w:type="dxa"/>
              <w:right w:w="160" w:type="dxa"/>
            </w:tcMar>
          </w:tcPr>
          <w:p w14:paraId="226371FB" w14:textId="77777777" w:rsidR="00CC2704" w:rsidRDefault="00CC2704" w:rsidP="000E46D4">
            <w:r>
              <w:rPr>
                <w:b/>
                <w:bCs/>
                <w:color w:val="000000"/>
                <w:sz w:val="21"/>
                <w:szCs w:val="21"/>
              </w:rPr>
              <w:t>Ponderación</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C186467" w14:textId="77777777" w:rsidR="00CC2704" w:rsidRDefault="00CC2704" w:rsidP="000E46D4">
            <w:r>
              <w:rPr>
                <w:color w:val="000000"/>
                <w:sz w:val="21"/>
                <w:szCs w:val="21"/>
              </w:rPr>
              <w:t>Peso relativo de cada fuente de evidencia en el juicio final. Ejemplo: desempeño 50%, producto 30%, conocimiento 20%.</w:t>
            </w:r>
          </w:p>
        </w:tc>
      </w:tr>
      <w:tr w:rsidR="00CC2704" w14:paraId="54137BE1"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EEDA"/>
            <w:tcMar>
              <w:top w:w="80" w:type="dxa"/>
              <w:left w:w="160" w:type="dxa"/>
              <w:bottom w:w="80" w:type="dxa"/>
              <w:right w:w="160" w:type="dxa"/>
            </w:tcMar>
          </w:tcPr>
          <w:p w14:paraId="14F415BA" w14:textId="77777777" w:rsidR="00CC2704" w:rsidRDefault="00CC2704" w:rsidP="000E46D4">
            <w:r>
              <w:rPr>
                <w:b/>
                <w:bCs/>
                <w:color w:val="000000"/>
                <w:sz w:val="21"/>
                <w:szCs w:val="21"/>
              </w:rPr>
              <w:t>Condiciones de aplicación</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2F24A26" w14:textId="77777777" w:rsidR="00CC2704" w:rsidRDefault="00CC2704" w:rsidP="000E46D4">
            <w:r>
              <w:rPr>
                <w:color w:val="000000"/>
                <w:sz w:val="21"/>
                <w:szCs w:val="21"/>
              </w:rPr>
              <w:t>Dónde debe realizarse la evaluación (en campo real, en taller, en simulación), en qué momento, con qué materiales disponibles.</w:t>
            </w:r>
          </w:p>
        </w:tc>
      </w:tr>
      <w:tr w:rsidR="00CC2704" w14:paraId="2420383E"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EEDA"/>
            <w:tcMar>
              <w:top w:w="80" w:type="dxa"/>
              <w:left w:w="160" w:type="dxa"/>
              <w:bottom w:w="80" w:type="dxa"/>
              <w:right w:w="160" w:type="dxa"/>
            </w:tcMar>
          </w:tcPr>
          <w:p w14:paraId="0A844C1F" w14:textId="77777777" w:rsidR="00CC2704" w:rsidRDefault="00CC2704" w:rsidP="000E46D4">
            <w:r>
              <w:rPr>
                <w:b/>
                <w:bCs/>
                <w:color w:val="000000"/>
                <w:sz w:val="21"/>
                <w:szCs w:val="21"/>
              </w:rPr>
              <w:t>Criterios esenciales</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068EB86" w14:textId="77777777" w:rsidR="00CC2704" w:rsidRDefault="00CC2704" w:rsidP="000E46D4">
            <w:r>
              <w:rPr>
                <w:color w:val="000000"/>
                <w:sz w:val="21"/>
                <w:szCs w:val="21"/>
              </w:rPr>
              <w:t>Identificación explícita de qué criterios de desempeño son esenciales: su incumplimiento invalida el veredicto Competente.</w:t>
            </w:r>
          </w:p>
        </w:tc>
      </w:tr>
      <w:tr w:rsidR="00CC2704" w14:paraId="3F54AD9D" w14:textId="77777777" w:rsidTr="000E46D4">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EEDA"/>
            <w:tcMar>
              <w:top w:w="80" w:type="dxa"/>
              <w:left w:w="160" w:type="dxa"/>
              <w:bottom w:w="80" w:type="dxa"/>
              <w:right w:w="160" w:type="dxa"/>
            </w:tcMar>
          </w:tcPr>
          <w:p w14:paraId="031A5DB9" w14:textId="77777777" w:rsidR="00CC2704" w:rsidRDefault="00CC2704" w:rsidP="000E46D4">
            <w:r>
              <w:rPr>
                <w:b/>
                <w:bCs/>
                <w:color w:val="000000"/>
                <w:sz w:val="21"/>
                <w:szCs w:val="21"/>
              </w:rPr>
              <w:t>Número mínimo de observaciones</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58A225A" w14:textId="77777777" w:rsidR="00CC2704" w:rsidRDefault="00CC2704" w:rsidP="000E46D4">
            <w:r>
              <w:rPr>
                <w:color w:val="000000"/>
                <w:sz w:val="21"/>
                <w:szCs w:val="21"/>
              </w:rPr>
              <w:t>Cantidad mínima de observaciones o productos requeridos para que la evidencia sea considerada suficiente.</w:t>
            </w:r>
          </w:p>
        </w:tc>
      </w:tr>
    </w:tbl>
    <w:p w14:paraId="2E95457D" w14:textId="77777777" w:rsidR="00CC2704" w:rsidRDefault="00CC2704" w:rsidP="00CC2704">
      <w:pPr>
        <w:spacing w:before="160"/>
      </w:pPr>
    </w:p>
    <w:p w14:paraId="2F97A401" w14:textId="77777777" w:rsidR="00CC2704" w:rsidRDefault="00CC2704" w:rsidP="00CC2704">
      <w:pPr>
        <w:pStyle w:val="Ttulo2"/>
      </w:pPr>
      <w:r>
        <w:rPr>
          <w:rFonts w:ascii="Arial" w:eastAsia="Arial" w:hAnsi="Arial" w:cs="Arial"/>
          <w:b/>
          <w:bCs/>
          <w:color w:val="0F6E56"/>
          <w:sz w:val="26"/>
          <w:szCs w:val="26"/>
        </w:rPr>
        <w:t>¿Por qué es importante?</w:t>
      </w:r>
    </w:p>
    <w:p w14:paraId="677B7ACD" w14:textId="77777777" w:rsidR="00CC2704" w:rsidRDefault="00CC2704" w:rsidP="00CC2704">
      <w:pPr>
        <w:spacing w:after="160" w:line="320" w:lineRule="auto"/>
        <w:jc w:val="both"/>
      </w:pPr>
      <w:r>
        <w:rPr>
          <w:color w:val="000000"/>
        </w:rPr>
        <w:t>La guía de evaluación es la garantía de la confiabilidad del sistema: dos evaluadores distintos, aplicando la misma guía ante las mismas evidencias, deben llegar al mismo juicio. Si la guía no existe o es ambigua, la evaluación depende de la discrecionalidad del evaluador, y eso convierte al sistema de certificación en algo no replicable y potencialmente injusto.</w:t>
      </w:r>
    </w:p>
    <w:p w14:paraId="0722EC68" w14:textId="77777777" w:rsidR="00CC2704" w:rsidRDefault="00CC2704" w:rsidP="00CC2704">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C2704" w14:paraId="202D8BE1" w14:textId="77777777" w:rsidTr="000E46D4">
        <w:tblPrEx>
          <w:tblCellMar>
            <w:top w:w="0" w:type="dxa"/>
            <w:bottom w:w="0" w:type="dxa"/>
          </w:tblCellMar>
        </w:tblPrEx>
        <w:tc>
          <w:tcPr>
            <w:tcW w:w="9026" w:type="dxa"/>
            <w:tcBorders>
              <w:top w:val="single" w:sz="1" w:space="0" w:color="993C1D"/>
              <w:left w:val="single" w:sz="1" w:space="0" w:color="993C1D"/>
              <w:bottom w:val="single" w:sz="1" w:space="0" w:color="993C1D"/>
              <w:right w:val="single" w:sz="1" w:space="0" w:color="993C1D"/>
            </w:tcBorders>
            <w:shd w:val="clear" w:color="auto" w:fill="FAECE7"/>
            <w:tcMar>
              <w:top w:w="120" w:type="dxa"/>
              <w:left w:w="200" w:type="dxa"/>
              <w:bottom w:w="100" w:type="dxa"/>
              <w:right w:w="200" w:type="dxa"/>
            </w:tcMar>
          </w:tcPr>
          <w:p w14:paraId="61D414C4" w14:textId="77777777" w:rsidR="00CC2704" w:rsidRDefault="00CC2704" w:rsidP="000E46D4">
            <w:r>
              <w:rPr>
                <w:b/>
                <w:bCs/>
                <w:color w:val="993C1D"/>
                <w:sz w:val="24"/>
                <w:szCs w:val="24"/>
              </w:rPr>
              <w:t>Atención — error frecuente</w:t>
            </w:r>
          </w:p>
        </w:tc>
      </w:tr>
      <w:tr w:rsidR="00CC2704" w14:paraId="7B87BFDC" w14:textId="77777777" w:rsidTr="000E46D4">
        <w:tblPrEx>
          <w:tblCellMar>
            <w:top w:w="0" w:type="dxa"/>
            <w:bottom w:w="0" w:type="dxa"/>
          </w:tblCellMar>
        </w:tblPrEx>
        <w:tc>
          <w:tcPr>
            <w:tcW w:w="9026" w:type="dxa"/>
            <w:tcBorders>
              <w:top w:val="nil"/>
              <w:left w:val="single" w:sz="1" w:space="0" w:color="993C1D"/>
              <w:bottom w:val="nil"/>
              <w:right w:val="single" w:sz="1" w:space="0" w:color="993C1D"/>
            </w:tcBorders>
            <w:shd w:val="clear" w:color="auto" w:fill="FFFFFF"/>
            <w:tcMar>
              <w:top w:w="60" w:type="dxa"/>
              <w:left w:w="200" w:type="dxa"/>
              <w:bottom w:w="60" w:type="dxa"/>
              <w:right w:w="200" w:type="dxa"/>
            </w:tcMar>
          </w:tcPr>
          <w:p w14:paraId="0E5C0711" w14:textId="77777777" w:rsidR="00CC2704" w:rsidRDefault="00CC2704" w:rsidP="000E46D4">
            <w:pPr>
              <w:spacing w:before="40" w:after="40"/>
            </w:pPr>
            <w:r>
              <w:rPr>
                <w:color w:val="000000"/>
                <w:sz w:val="21"/>
                <w:szCs w:val="21"/>
              </w:rPr>
              <w:t>Error frecuente: confundir la guía de evaluación con un instrumento de evaluación.</w:t>
            </w:r>
          </w:p>
        </w:tc>
      </w:tr>
      <w:tr w:rsidR="00CC2704" w14:paraId="020D64E5" w14:textId="77777777" w:rsidTr="000E46D4">
        <w:tblPrEx>
          <w:tblCellMar>
            <w:top w:w="0" w:type="dxa"/>
            <w:bottom w:w="0" w:type="dxa"/>
          </w:tblCellMar>
        </w:tblPrEx>
        <w:tc>
          <w:tcPr>
            <w:tcW w:w="9026" w:type="dxa"/>
            <w:tcBorders>
              <w:top w:val="nil"/>
              <w:left w:val="single" w:sz="1" w:space="0" w:color="993C1D"/>
              <w:bottom w:val="nil"/>
              <w:right w:val="single" w:sz="1" w:space="0" w:color="993C1D"/>
            </w:tcBorders>
            <w:shd w:val="clear" w:color="auto" w:fill="FFFFFF"/>
            <w:tcMar>
              <w:top w:w="60" w:type="dxa"/>
              <w:left w:w="200" w:type="dxa"/>
              <w:bottom w:w="60" w:type="dxa"/>
              <w:right w:w="200" w:type="dxa"/>
            </w:tcMar>
          </w:tcPr>
          <w:p w14:paraId="21D84CF7" w14:textId="77777777" w:rsidR="00CC2704" w:rsidRDefault="00CC2704" w:rsidP="000E46D4">
            <w:pPr>
              <w:spacing w:before="40" w:after="40"/>
            </w:pPr>
            <w:r>
              <w:rPr>
                <w:color w:val="000000"/>
                <w:sz w:val="21"/>
                <w:szCs w:val="21"/>
              </w:rPr>
              <w:t>La guía de evaluación es la parte de la NORMA que orienta al evaluador.</w:t>
            </w:r>
          </w:p>
        </w:tc>
      </w:tr>
      <w:tr w:rsidR="00CC2704" w14:paraId="0F2DA0B0" w14:textId="77777777" w:rsidTr="000E46D4">
        <w:tblPrEx>
          <w:tblCellMar>
            <w:top w:w="0" w:type="dxa"/>
            <w:bottom w:w="0" w:type="dxa"/>
          </w:tblCellMar>
        </w:tblPrEx>
        <w:tc>
          <w:tcPr>
            <w:tcW w:w="9026" w:type="dxa"/>
            <w:tcBorders>
              <w:top w:val="nil"/>
              <w:left w:val="single" w:sz="1" w:space="0" w:color="993C1D"/>
              <w:bottom w:val="nil"/>
              <w:right w:val="single" w:sz="1" w:space="0" w:color="993C1D"/>
            </w:tcBorders>
            <w:shd w:val="clear" w:color="auto" w:fill="FFFFFF"/>
            <w:tcMar>
              <w:top w:w="60" w:type="dxa"/>
              <w:left w:w="200" w:type="dxa"/>
              <w:bottom w:w="60" w:type="dxa"/>
              <w:right w:w="200" w:type="dxa"/>
            </w:tcMar>
          </w:tcPr>
          <w:p w14:paraId="56E44B67" w14:textId="77777777" w:rsidR="00CC2704" w:rsidRDefault="00CC2704" w:rsidP="000E46D4">
            <w:pPr>
              <w:spacing w:before="40" w:after="40"/>
            </w:pPr>
            <w:r>
              <w:rPr>
                <w:color w:val="000000"/>
                <w:sz w:val="21"/>
                <w:szCs w:val="21"/>
              </w:rPr>
              <w:lastRenderedPageBreak/>
              <w:t>El instrumento de evaluación (lista de cotejo, rúbrica, prueba) es el documento operativo que el evaluador diseña</w:t>
            </w:r>
          </w:p>
        </w:tc>
      </w:tr>
      <w:tr w:rsidR="00CC2704" w14:paraId="42889359" w14:textId="77777777" w:rsidTr="000E46D4">
        <w:tblPrEx>
          <w:tblCellMar>
            <w:top w:w="0" w:type="dxa"/>
            <w:bottom w:w="0" w:type="dxa"/>
          </w:tblCellMar>
        </w:tblPrEx>
        <w:tc>
          <w:tcPr>
            <w:tcW w:w="9026" w:type="dxa"/>
            <w:tcBorders>
              <w:top w:val="nil"/>
              <w:left w:val="single" w:sz="1" w:space="0" w:color="993C1D"/>
              <w:bottom w:val="single" w:sz="1" w:space="0" w:color="993C1D"/>
              <w:right w:val="single" w:sz="1" w:space="0" w:color="993C1D"/>
            </w:tcBorders>
            <w:shd w:val="clear" w:color="auto" w:fill="FFFFFF"/>
            <w:tcMar>
              <w:top w:w="60" w:type="dxa"/>
              <w:left w:w="200" w:type="dxa"/>
              <w:bottom w:w="60" w:type="dxa"/>
              <w:right w:w="200" w:type="dxa"/>
            </w:tcMar>
          </w:tcPr>
          <w:p w14:paraId="647A4A7D" w14:textId="77777777" w:rsidR="00CC2704" w:rsidRDefault="00CC2704" w:rsidP="000E46D4">
            <w:pPr>
              <w:spacing w:before="40" w:after="40"/>
            </w:pPr>
            <w:r>
              <w:rPr>
                <w:color w:val="000000"/>
                <w:sz w:val="21"/>
                <w:szCs w:val="21"/>
              </w:rPr>
              <w:t>a partir de la guía. Son niveles distintos: la guía está en la norma, el instrumento está en el plan de evaluación.</w:t>
            </w:r>
          </w:p>
        </w:tc>
      </w:tr>
    </w:tbl>
    <w:p w14:paraId="71AEAFFB" w14:textId="77777777" w:rsidR="00247996" w:rsidRDefault="00247996"/>
    <w:sectPr w:rsidR="00247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04"/>
    <w:rsid w:val="00247996"/>
    <w:rsid w:val="00410D14"/>
    <w:rsid w:val="009F7DB0"/>
    <w:rsid w:val="00BA13E8"/>
    <w:rsid w:val="00CC2704"/>
    <w:rsid w:val="00D620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013B"/>
  <w15:chartTrackingRefBased/>
  <w15:docId w15:val="{16F87A03-273E-4478-9F0F-5989CACD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04"/>
    <w:pPr>
      <w:spacing w:after="0" w:line="240" w:lineRule="auto"/>
    </w:pPr>
    <w:rPr>
      <w:rFonts w:ascii="Arial" w:eastAsia="Arial" w:hAnsi="Arial" w:cs="Arial"/>
      <w:kern w:val="0"/>
      <w:lang w:eastAsia="es-PE"/>
      <w14:ligatures w14:val="none"/>
    </w:rPr>
  </w:style>
  <w:style w:type="paragraph" w:styleId="Ttulo1">
    <w:name w:val="heading 1"/>
    <w:basedOn w:val="Normal"/>
    <w:next w:val="Normal"/>
    <w:link w:val="Ttulo1Car"/>
    <w:uiPriority w:val="9"/>
    <w:qFormat/>
    <w:rsid w:val="00CC270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CC270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CC270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CC2704"/>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CC2704"/>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CC2704"/>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CC2704"/>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CC2704"/>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CC2704"/>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70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C270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C270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C270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C270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C27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27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27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2704"/>
    <w:rPr>
      <w:rFonts w:eastAsiaTheme="majorEastAsia" w:cstheme="majorBidi"/>
      <w:color w:val="272727" w:themeColor="text1" w:themeTint="D8"/>
    </w:rPr>
  </w:style>
  <w:style w:type="paragraph" w:styleId="Ttulo">
    <w:name w:val="Title"/>
    <w:basedOn w:val="Normal"/>
    <w:next w:val="Normal"/>
    <w:link w:val="TtuloCar"/>
    <w:uiPriority w:val="10"/>
    <w:qFormat/>
    <w:rsid w:val="00CC270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CC27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27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C27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2704"/>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CC2704"/>
    <w:rPr>
      <w:i/>
      <w:iCs/>
      <w:color w:val="404040" w:themeColor="text1" w:themeTint="BF"/>
    </w:rPr>
  </w:style>
  <w:style w:type="paragraph" w:styleId="Prrafodelista">
    <w:name w:val="List Paragraph"/>
    <w:basedOn w:val="Normal"/>
    <w:uiPriority w:val="34"/>
    <w:qFormat/>
    <w:rsid w:val="00CC2704"/>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CC2704"/>
    <w:rPr>
      <w:i/>
      <w:iCs/>
      <w:color w:val="2F5496" w:themeColor="accent1" w:themeShade="BF"/>
    </w:rPr>
  </w:style>
  <w:style w:type="paragraph" w:styleId="Citadestacada">
    <w:name w:val="Intense Quote"/>
    <w:basedOn w:val="Normal"/>
    <w:next w:val="Normal"/>
    <w:link w:val="CitadestacadaCar"/>
    <w:uiPriority w:val="30"/>
    <w:qFormat/>
    <w:rsid w:val="00CC270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CC2704"/>
    <w:rPr>
      <w:i/>
      <w:iCs/>
      <w:color w:val="2F5496" w:themeColor="accent1" w:themeShade="BF"/>
    </w:rPr>
  </w:style>
  <w:style w:type="character" w:styleId="Referenciaintensa">
    <w:name w:val="Intense Reference"/>
    <w:basedOn w:val="Fuentedeprrafopredeter"/>
    <w:uiPriority w:val="32"/>
    <w:qFormat/>
    <w:rsid w:val="00CC2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dc:creator>
  <cp:keywords/>
  <dc:description/>
  <cp:lastModifiedBy>MOISES</cp:lastModifiedBy>
  <cp:revision>1</cp:revision>
  <dcterms:created xsi:type="dcterms:W3CDTF">2026-04-17T15:37:00Z</dcterms:created>
  <dcterms:modified xsi:type="dcterms:W3CDTF">2026-04-17T15:37:00Z</dcterms:modified>
</cp:coreProperties>
</file>