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6567" w14:paraId="1B5E91C5" w14:textId="77777777" w:rsidTr="000E46D4">
        <w:tblPrEx>
          <w:tblCellMar>
            <w:top w:w="0" w:type="dxa"/>
            <w:bottom w:w="0" w:type="dxa"/>
          </w:tblCellMar>
        </w:tblPrEx>
        <w:tc>
          <w:tcPr>
            <w:tcW w:w="9026" w:type="dxa"/>
            <w:tcBorders>
              <w:top w:val="nil"/>
              <w:left w:val="nil"/>
              <w:bottom w:val="nil"/>
              <w:right w:val="nil"/>
            </w:tcBorders>
            <w:shd w:val="clear" w:color="auto" w:fill="185FA5"/>
            <w:tcMar>
              <w:top w:w="120" w:type="dxa"/>
              <w:left w:w="300" w:type="dxa"/>
              <w:bottom w:w="120" w:type="dxa"/>
              <w:right w:w="300" w:type="dxa"/>
            </w:tcMar>
          </w:tcPr>
          <w:p w14:paraId="1E8625A3" w14:textId="7CDF1AD1" w:rsidR="00F56567" w:rsidRPr="00F56567" w:rsidRDefault="00F56567" w:rsidP="000E46D4">
            <w:pPr>
              <w:jc w:val="center"/>
              <w:rPr>
                <w:sz w:val="40"/>
                <w:szCs w:val="40"/>
              </w:rPr>
            </w:pPr>
            <w:r w:rsidRPr="00F56567">
              <w:rPr>
                <w:b/>
                <w:bCs/>
                <w:color w:val="FFFFFF"/>
                <w:sz w:val="40"/>
                <w:szCs w:val="40"/>
              </w:rPr>
              <w:t>Campo de Aplicación</w:t>
            </w:r>
          </w:p>
        </w:tc>
      </w:tr>
    </w:tbl>
    <w:p w14:paraId="160AE4D9" w14:textId="77777777" w:rsidR="00F56567" w:rsidRDefault="00F56567" w:rsidP="00F56567">
      <w:pPr>
        <w:spacing w:before="200"/>
      </w:pPr>
    </w:p>
    <w:p w14:paraId="3AFA07BD" w14:textId="77777777" w:rsidR="00F56567" w:rsidRDefault="00F56567" w:rsidP="00F56567">
      <w:pPr>
        <w:pStyle w:val="Ttulo2"/>
      </w:pPr>
      <w:r>
        <w:rPr>
          <w:rFonts w:ascii="Arial" w:eastAsia="Arial" w:hAnsi="Arial" w:cs="Arial"/>
          <w:b/>
          <w:bCs/>
          <w:color w:val="0F6E56"/>
          <w:sz w:val="26"/>
          <w:szCs w:val="26"/>
        </w:rPr>
        <w:t>¿Qué es?</w:t>
      </w:r>
    </w:p>
    <w:p w14:paraId="2507AC43" w14:textId="77777777" w:rsidR="00F56567" w:rsidRDefault="00F56567" w:rsidP="00F56567">
      <w:pPr>
        <w:spacing w:after="160" w:line="320" w:lineRule="auto"/>
        <w:jc w:val="both"/>
      </w:pPr>
      <w:r>
        <w:rPr>
          <w:color w:val="000000"/>
        </w:rPr>
        <w:t>El campo de aplicación es el componente que delimita las condiciones de variabilidad dentro de las cuales la norma es válida. Establece el rango de contextos, materiales, equipos, condiciones organizacionales y situaciones de trabajo dentro de los cuales el Elemento debe evaluarse.</w:t>
      </w:r>
    </w:p>
    <w:p w14:paraId="32684E92" w14:textId="77777777" w:rsidR="00F56567" w:rsidRDefault="00F56567" w:rsidP="00F56567">
      <w:pPr>
        <w:spacing w:after="160" w:line="320" w:lineRule="auto"/>
        <w:jc w:val="both"/>
      </w:pPr>
      <w:r>
        <w:rPr>
          <w:color w:val="000000"/>
        </w:rPr>
        <w:t>Cumple dos funciones simultáneas: define los límites del juicio del evaluador —lo que está dentro del campo debe poder ser evaluado; lo que está fuera, no— y protege al candidato de ser evaluado en condiciones que exceden el alcance de la norma para la que se postula.</w:t>
      </w:r>
    </w:p>
    <w:p w14:paraId="669B14C6" w14:textId="77777777" w:rsidR="00F56567" w:rsidRDefault="00F56567" w:rsidP="00F56567">
      <w:pPr>
        <w:spacing w:before="80"/>
      </w:pPr>
    </w:p>
    <w:p w14:paraId="6678D2AF" w14:textId="77777777" w:rsidR="00F56567" w:rsidRDefault="00F56567" w:rsidP="00F56567">
      <w:pPr>
        <w:pStyle w:val="Ttulo2"/>
      </w:pPr>
      <w:r>
        <w:rPr>
          <w:rFonts w:ascii="Arial" w:eastAsia="Arial" w:hAnsi="Arial" w:cs="Arial"/>
          <w:b/>
          <w:bCs/>
          <w:color w:val="0F6E56"/>
          <w:sz w:val="26"/>
          <w:szCs w:val="26"/>
        </w:rPr>
        <w:t>¿Qué variables incluye el campo de aplicación?</w:t>
      </w:r>
    </w:p>
    <w:p w14:paraId="44376CD9" w14:textId="77777777" w:rsidR="00F56567" w:rsidRDefault="00F56567" w:rsidP="00F56567">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600"/>
        <w:gridCol w:w="3226"/>
      </w:tblGrid>
      <w:tr w:rsidR="00F56567" w14:paraId="3FCA8640" w14:textId="77777777" w:rsidTr="000E46D4">
        <w:tblPrEx>
          <w:tblCellMar>
            <w:top w:w="0" w:type="dxa"/>
            <w:bottom w:w="0" w:type="dxa"/>
          </w:tblCellMar>
        </w:tblPrEx>
        <w:tc>
          <w:tcPr>
            <w:tcW w:w="2200" w:type="dxa"/>
            <w:tcBorders>
              <w:top w:val="single" w:sz="1" w:space="0" w:color="888888"/>
              <w:left w:val="single" w:sz="1" w:space="0" w:color="888888"/>
              <w:bottom w:val="single" w:sz="1" w:space="0" w:color="888888"/>
              <w:right w:val="single" w:sz="1" w:space="0" w:color="888888"/>
            </w:tcBorders>
            <w:shd w:val="clear" w:color="auto" w:fill="185FA5"/>
            <w:tcMar>
              <w:top w:w="100" w:type="dxa"/>
              <w:left w:w="160" w:type="dxa"/>
              <w:bottom w:w="100" w:type="dxa"/>
              <w:right w:w="160" w:type="dxa"/>
            </w:tcMar>
          </w:tcPr>
          <w:p w14:paraId="1D57A28A" w14:textId="77777777" w:rsidR="00F56567" w:rsidRDefault="00F56567" w:rsidP="000E46D4">
            <w:pPr>
              <w:jc w:val="center"/>
            </w:pPr>
            <w:r>
              <w:rPr>
                <w:b/>
                <w:bCs/>
                <w:color w:val="FFFFFF"/>
                <w:sz w:val="21"/>
                <w:szCs w:val="21"/>
              </w:rPr>
              <w:t>Variable</w:t>
            </w:r>
          </w:p>
        </w:tc>
        <w:tc>
          <w:tcPr>
            <w:tcW w:w="3600" w:type="dxa"/>
            <w:tcBorders>
              <w:top w:val="single" w:sz="1" w:space="0" w:color="888888"/>
              <w:left w:val="single" w:sz="1" w:space="0" w:color="888888"/>
              <w:bottom w:val="single" w:sz="1" w:space="0" w:color="888888"/>
              <w:right w:val="single" w:sz="1" w:space="0" w:color="888888"/>
            </w:tcBorders>
            <w:shd w:val="clear" w:color="auto" w:fill="185FA5"/>
            <w:tcMar>
              <w:top w:w="100" w:type="dxa"/>
              <w:left w:w="160" w:type="dxa"/>
              <w:bottom w:w="100" w:type="dxa"/>
              <w:right w:w="160" w:type="dxa"/>
            </w:tcMar>
          </w:tcPr>
          <w:p w14:paraId="46035C94" w14:textId="77777777" w:rsidR="00F56567" w:rsidRDefault="00F56567" w:rsidP="000E46D4">
            <w:pPr>
              <w:jc w:val="center"/>
            </w:pPr>
            <w:r>
              <w:rPr>
                <w:b/>
                <w:bCs/>
                <w:color w:val="FFFFFF"/>
                <w:sz w:val="21"/>
                <w:szCs w:val="21"/>
              </w:rPr>
              <w:t>Descripción</w:t>
            </w:r>
          </w:p>
        </w:tc>
        <w:tc>
          <w:tcPr>
            <w:tcW w:w="3226" w:type="dxa"/>
            <w:tcBorders>
              <w:top w:val="single" w:sz="1" w:space="0" w:color="888888"/>
              <w:left w:val="single" w:sz="1" w:space="0" w:color="888888"/>
              <w:bottom w:val="single" w:sz="1" w:space="0" w:color="888888"/>
              <w:right w:val="single" w:sz="1" w:space="0" w:color="888888"/>
            </w:tcBorders>
            <w:shd w:val="clear" w:color="auto" w:fill="185FA5"/>
            <w:tcMar>
              <w:top w:w="100" w:type="dxa"/>
              <w:left w:w="160" w:type="dxa"/>
              <w:bottom w:w="100" w:type="dxa"/>
              <w:right w:w="160" w:type="dxa"/>
            </w:tcMar>
          </w:tcPr>
          <w:p w14:paraId="0A036872" w14:textId="77777777" w:rsidR="00F56567" w:rsidRDefault="00F56567" w:rsidP="000E46D4">
            <w:pPr>
              <w:jc w:val="center"/>
            </w:pPr>
            <w:r>
              <w:rPr>
                <w:b/>
                <w:bCs/>
                <w:color w:val="FFFFFF"/>
                <w:sz w:val="21"/>
                <w:szCs w:val="21"/>
              </w:rPr>
              <w:t>Ejemplo para el pintor operario</w:t>
            </w:r>
          </w:p>
        </w:tc>
      </w:tr>
      <w:tr w:rsidR="00F56567" w14:paraId="7648DE70" w14:textId="77777777" w:rsidTr="000E46D4">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6F1FB"/>
            <w:tcMar>
              <w:top w:w="80" w:type="dxa"/>
              <w:left w:w="160" w:type="dxa"/>
              <w:bottom w:w="80" w:type="dxa"/>
              <w:right w:w="160" w:type="dxa"/>
            </w:tcMar>
          </w:tcPr>
          <w:p w14:paraId="578D1EDD" w14:textId="77777777" w:rsidR="00F56567" w:rsidRDefault="00F56567" w:rsidP="000E46D4">
            <w:r>
              <w:rPr>
                <w:b/>
                <w:bCs/>
                <w:color w:val="000000"/>
                <w:sz w:val="21"/>
                <w:szCs w:val="21"/>
              </w:rPr>
              <w:t>Materiales</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5BE5E76A" w14:textId="77777777" w:rsidR="00F56567" w:rsidRDefault="00F56567" w:rsidP="000E46D4">
            <w:r>
              <w:rPr>
                <w:color w:val="000000"/>
                <w:sz w:val="21"/>
                <w:szCs w:val="21"/>
              </w:rPr>
              <w:t>Tipos de materiales sobre los que aplica la competencia</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1DEBB343" w14:textId="77777777" w:rsidR="00F56567" w:rsidRDefault="00F56567" w:rsidP="000E46D4">
            <w:r>
              <w:rPr>
                <w:color w:val="000000"/>
                <w:sz w:val="21"/>
                <w:szCs w:val="21"/>
              </w:rPr>
              <w:t>Pintura látex, esmalte, barniz, impermeabilizante</w:t>
            </w:r>
          </w:p>
        </w:tc>
      </w:tr>
      <w:tr w:rsidR="00F56567" w14:paraId="6E6CCC85" w14:textId="77777777" w:rsidTr="000E46D4">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6F1FB"/>
            <w:tcMar>
              <w:top w:w="80" w:type="dxa"/>
              <w:left w:w="160" w:type="dxa"/>
              <w:bottom w:w="80" w:type="dxa"/>
              <w:right w:w="160" w:type="dxa"/>
            </w:tcMar>
          </w:tcPr>
          <w:p w14:paraId="648A6B5E" w14:textId="77777777" w:rsidR="00F56567" w:rsidRDefault="00F56567" w:rsidP="000E46D4">
            <w:r>
              <w:rPr>
                <w:b/>
                <w:bCs/>
                <w:color w:val="000000"/>
                <w:sz w:val="21"/>
                <w:szCs w:val="21"/>
              </w:rPr>
              <w:t>Herramientas y equipos</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2D45D894" w14:textId="77777777" w:rsidR="00F56567" w:rsidRDefault="00F56567" w:rsidP="000E46D4">
            <w:r>
              <w:rPr>
                <w:color w:val="000000"/>
                <w:sz w:val="21"/>
                <w:szCs w:val="21"/>
              </w:rPr>
              <w:t>Instrumentos y maquinaria que puede usar el candidato</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6B928107" w14:textId="77777777" w:rsidR="00F56567" w:rsidRDefault="00F56567" w:rsidP="000E46D4">
            <w:r>
              <w:rPr>
                <w:color w:val="000000"/>
                <w:sz w:val="21"/>
                <w:szCs w:val="21"/>
              </w:rPr>
              <w:t>Rodillo, brocha, pistola de baja presión, lijadora orbital</w:t>
            </w:r>
          </w:p>
        </w:tc>
      </w:tr>
      <w:tr w:rsidR="00F56567" w14:paraId="71359CD0" w14:textId="77777777" w:rsidTr="000E46D4">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6F1FB"/>
            <w:tcMar>
              <w:top w:w="80" w:type="dxa"/>
              <w:left w:w="160" w:type="dxa"/>
              <w:bottom w:w="80" w:type="dxa"/>
              <w:right w:w="160" w:type="dxa"/>
            </w:tcMar>
          </w:tcPr>
          <w:p w14:paraId="5EEF0892" w14:textId="77777777" w:rsidR="00F56567" w:rsidRDefault="00F56567" w:rsidP="000E46D4">
            <w:r>
              <w:rPr>
                <w:b/>
                <w:bCs/>
                <w:color w:val="000000"/>
                <w:sz w:val="21"/>
                <w:szCs w:val="21"/>
              </w:rPr>
              <w:t>Tipos de superficie</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1328A56E" w14:textId="77777777" w:rsidR="00F56567" w:rsidRDefault="00F56567" w:rsidP="000E46D4">
            <w:r>
              <w:rPr>
                <w:color w:val="000000"/>
                <w:sz w:val="21"/>
                <w:szCs w:val="21"/>
              </w:rPr>
              <w:t>Substratos o soportes sobre los que trabaja</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195F1F04" w14:textId="77777777" w:rsidR="00F56567" w:rsidRDefault="00F56567" w:rsidP="000E46D4">
            <w:r>
              <w:rPr>
                <w:color w:val="000000"/>
                <w:sz w:val="21"/>
                <w:szCs w:val="21"/>
              </w:rPr>
              <w:t xml:space="preserve">Yeso, concreto, madera, fierro, </w:t>
            </w:r>
            <w:proofErr w:type="spellStart"/>
            <w:r>
              <w:rPr>
                <w:color w:val="000000"/>
                <w:sz w:val="21"/>
                <w:szCs w:val="21"/>
              </w:rPr>
              <w:t>drywall</w:t>
            </w:r>
            <w:proofErr w:type="spellEnd"/>
            <w:r>
              <w:rPr>
                <w:color w:val="000000"/>
                <w:sz w:val="21"/>
                <w:szCs w:val="21"/>
              </w:rPr>
              <w:t xml:space="preserve"> — en condiciones estándar</w:t>
            </w:r>
          </w:p>
        </w:tc>
      </w:tr>
      <w:tr w:rsidR="00F56567" w14:paraId="2F551941" w14:textId="77777777" w:rsidTr="000E46D4">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6F1FB"/>
            <w:tcMar>
              <w:top w:w="80" w:type="dxa"/>
              <w:left w:w="160" w:type="dxa"/>
              <w:bottom w:w="80" w:type="dxa"/>
              <w:right w:w="160" w:type="dxa"/>
            </w:tcMar>
          </w:tcPr>
          <w:p w14:paraId="30CDD8E4" w14:textId="77777777" w:rsidR="00F56567" w:rsidRDefault="00F56567" w:rsidP="000E46D4">
            <w:r>
              <w:rPr>
                <w:b/>
                <w:bCs/>
                <w:color w:val="000000"/>
                <w:sz w:val="21"/>
                <w:szCs w:val="21"/>
              </w:rPr>
              <w:t>Condiciones de trabajo</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64066A15" w14:textId="77777777" w:rsidR="00F56567" w:rsidRDefault="00F56567" w:rsidP="000E46D4">
            <w:r>
              <w:rPr>
                <w:color w:val="000000"/>
                <w:sz w:val="21"/>
                <w:szCs w:val="21"/>
              </w:rPr>
              <w:t>Variables del entorno: temperatura, humedad, altura, riesgo</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65209DDD" w14:textId="77777777" w:rsidR="00F56567" w:rsidRDefault="00F56567" w:rsidP="000E46D4">
            <w:r>
              <w:rPr>
                <w:color w:val="000000"/>
                <w:sz w:val="21"/>
                <w:szCs w:val="21"/>
              </w:rPr>
              <w:t>Temperatura 10–35°C, interior sin lluvia, altura máxima 3m sin andamio</w:t>
            </w:r>
          </w:p>
        </w:tc>
      </w:tr>
      <w:tr w:rsidR="00F56567" w14:paraId="027FDE97" w14:textId="77777777" w:rsidTr="000E46D4">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6F1FB"/>
            <w:tcMar>
              <w:top w:w="80" w:type="dxa"/>
              <w:left w:w="160" w:type="dxa"/>
              <w:bottom w:w="80" w:type="dxa"/>
              <w:right w:w="160" w:type="dxa"/>
            </w:tcMar>
          </w:tcPr>
          <w:p w14:paraId="6EB690A7" w14:textId="77777777" w:rsidR="00F56567" w:rsidRDefault="00F56567" w:rsidP="000E46D4">
            <w:r>
              <w:rPr>
                <w:b/>
                <w:bCs/>
                <w:color w:val="000000"/>
                <w:sz w:val="21"/>
                <w:szCs w:val="21"/>
              </w:rPr>
              <w:t>Normativa aplicable</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6CD83FCA" w14:textId="77777777" w:rsidR="00F56567" w:rsidRDefault="00F56567" w:rsidP="000E46D4">
            <w:r>
              <w:rPr>
                <w:color w:val="000000"/>
                <w:sz w:val="21"/>
                <w:szCs w:val="21"/>
              </w:rPr>
              <w:t>Reglamentos, normas técnicas o estándares de referencia</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60" w:type="dxa"/>
            </w:tcMar>
          </w:tcPr>
          <w:p w14:paraId="3F142297" w14:textId="77777777" w:rsidR="00F56567" w:rsidRDefault="00F56567" w:rsidP="000E46D4">
            <w:r>
              <w:rPr>
                <w:color w:val="000000"/>
                <w:sz w:val="21"/>
                <w:szCs w:val="21"/>
              </w:rPr>
              <w:t>NTP de pinturas, reglamento de seguridad en obras</w:t>
            </w:r>
          </w:p>
        </w:tc>
      </w:tr>
    </w:tbl>
    <w:p w14:paraId="7E8AF143" w14:textId="77777777" w:rsidR="00F56567" w:rsidRDefault="00F56567" w:rsidP="00F56567">
      <w:pPr>
        <w:spacing w:before="160"/>
      </w:pPr>
    </w:p>
    <w:p w14:paraId="33569034" w14:textId="77777777" w:rsidR="00F56567" w:rsidRDefault="00F56567" w:rsidP="00F56567">
      <w:pPr>
        <w:pStyle w:val="Ttulo2"/>
      </w:pPr>
      <w:r>
        <w:rPr>
          <w:rFonts w:ascii="Arial" w:eastAsia="Arial" w:hAnsi="Arial" w:cs="Arial"/>
          <w:b/>
          <w:bCs/>
          <w:color w:val="0F6E56"/>
          <w:sz w:val="26"/>
          <w:szCs w:val="26"/>
        </w:rPr>
        <w:t>¿Cómo cambia el campo entre niveles de desempeño?</w:t>
      </w:r>
    </w:p>
    <w:p w14:paraId="1AE6E4D9" w14:textId="77777777" w:rsidR="00F56567" w:rsidRDefault="00F56567" w:rsidP="00F56567">
      <w:pPr>
        <w:spacing w:after="160" w:line="320" w:lineRule="auto"/>
        <w:jc w:val="both"/>
      </w:pPr>
      <w:r>
        <w:rPr>
          <w:color w:val="000000"/>
        </w:rPr>
        <w:t>El campo de aplicación se amplía progresivamente con el nivel de desempeño. El ayudante trabaja en condiciones controladas y estándar. El especialista trabaja en cualquier tipo de superficie, cualquier condición ambiental, incluyendo situaciones no previstas. El campo de aplicación es uno de los indicadores más claros de que se trata de normas cualitativamente distintas.</w:t>
      </w:r>
    </w:p>
    <w:p w14:paraId="26E61706" w14:textId="77777777" w:rsidR="00F56567" w:rsidRDefault="00F56567" w:rsidP="00F56567">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F56567" w14:paraId="0AD0B045" w14:textId="77777777" w:rsidTr="000E46D4">
        <w:tblPrEx>
          <w:tblCellMar>
            <w:top w:w="0" w:type="dxa"/>
            <w:bottom w:w="0" w:type="dxa"/>
          </w:tblCellMar>
        </w:tblPrEx>
        <w:tc>
          <w:tcPr>
            <w:tcW w:w="9026" w:type="dxa"/>
            <w:tcBorders>
              <w:top w:val="single" w:sz="1" w:space="0" w:color="185FA5"/>
              <w:left w:val="single" w:sz="1" w:space="0" w:color="185FA5"/>
              <w:bottom w:val="single" w:sz="1" w:space="0" w:color="185FA5"/>
              <w:right w:val="single" w:sz="1" w:space="0" w:color="185FA5"/>
            </w:tcBorders>
            <w:shd w:val="clear" w:color="auto" w:fill="E6F1FB"/>
            <w:tcMar>
              <w:top w:w="120" w:type="dxa"/>
              <w:left w:w="200" w:type="dxa"/>
              <w:bottom w:w="100" w:type="dxa"/>
              <w:right w:w="200" w:type="dxa"/>
            </w:tcMar>
          </w:tcPr>
          <w:p w14:paraId="640E11E0" w14:textId="77777777" w:rsidR="00F56567" w:rsidRDefault="00F56567" w:rsidP="000E46D4">
            <w:r>
              <w:rPr>
                <w:b/>
                <w:bCs/>
                <w:color w:val="185FA5"/>
                <w:sz w:val="24"/>
                <w:szCs w:val="24"/>
              </w:rPr>
              <w:t>Ejemplo</w:t>
            </w:r>
          </w:p>
        </w:tc>
      </w:tr>
      <w:tr w:rsidR="00F56567" w14:paraId="3E5071F6" w14:textId="77777777" w:rsidTr="000E46D4">
        <w:tblPrEx>
          <w:tblCellMar>
            <w:top w:w="0" w:type="dxa"/>
            <w:bottom w:w="0" w:type="dxa"/>
          </w:tblCellMar>
        </w:tblPrEx>
        <w:tc>
          <w:tcPr>
            <w:tcW w:w="9026" w:type="dxa"/>
            <w:tcBorders>
              <w:top w:val="nil"/>
              <w:left w:val="single" w:sz="1" w:space="0" w:color="185FA5"/>
              <w:bottom w:val="nil"/>
              <w:right w:val="single" w:sz="1" w:space="0" w:color="185FA5"/>
            </w:tcBorders>
            <w:shd w:val="clear" w:color="auto" w:fill="FFFFFF"/>
            <w:tcMar>
              <w:top w:w="60" w:type="dxa"/>
              <w:left w:w="200" w:type="dxa"/>
              <w:bottom w:w="60" w:type="dxa"/>
              <w:right w:w="200" w:type="dxa"/>
            </w:tcMar>
          </w:tcPr>
          <w:p w14:paraId="0306FE25" w14:textId="77777777" w:rsidR="00F56567" w:rsidRDefault="00F56567" w:rsidP="000E46D4">
            <w:pPr>
              <w:spacing w:before="40" w:after="40"/>
            </w:pPr>
            <w:r>
              <w:rPr>
                <w:color w:val="000000"/>
                <w:sz w:val="21"/>
                <w:szCs w:val="21"/>
              </w:rPr>
              <w:lastRenderedPageBreak/>
              <w:t>Nivel 1 (Ayudante): Superficies interiores de yeso o concreto, en condiciones estándar, materiales provistos por el supervisor.</w:t>
            </w:r>
          </w:p>
        </w:tc>
      </w:tr>
      <w:tr w:rsidR="00F56567" w14:paraId="7BECD90C" w14:textId="77777777" w:rsidTr="000E46D4">
        <w:tblPrEx>
          <w:tblCellMar>
            <w:top w:w="0" w:type="dxa"/>
            <w:bottom w:w="0" w:type="dxa"/>
          </w:tblCellMar>
        </w:tblPrEx>
        <w:tc>
          <w:tcPr>
            <w:tcW w:w="9026" w:type="dxa"/>
            <w:tcBorders>
              <w:top w:val="nil"/>
              <w:left w:val="single" w:sz="1" w:space="0" w:color="185FA5"/>
              <w:bottom w:val="nil"/>
              <w:right w:val="single" w:sz="1" w:space="0" w:color="185FA5"/>
            </w:tcBorders>
            <w:shd w:val="clear" w:color="auto" w:fill="FFFFFF"/>
            <w:tcMar>
              <w:top w:w="60" w:type="dxa"/>
              <w:left w:w="200" w:type="dxa"/>
              <w:bottom w:w="60" w:type="dxa"/>
              <w:right w:w="200" w:type="dxa"/>
            </w:tcMar>
          </w:tcPr>
          <w:p w14:paraId="2F30BDC4" w14:textId="77777777" w:rsidR="00F56567" w:rsidRDefault="00F56567" w:rsidP="000E46D4">
            <w:pPr>
              <w:spacing w:before="40" w:after="40"/>
            </w:pPr>
            <w:r>
              <w:rPr>
                <w:color w:val="000000"/>
                <w:sz w:val="21"/>
                <w:szCs w:val="21"/>
              </w:rPr>
              <w:t>Nivel 2 (Operario): Superficies interiores y exteriores estándar, variedad de materiales, condiciones habituales de obra.</w:t>
            </w:r>
          </w:p>
        </w:tc>
      </w:tr>
      <w:tr w:rsidR="00F56567" w14:paraId="31E783C8" w14:textId="77777777" w:rsidTr="000E46D4">
        <w:tblPrEx>
          <w:tblCellMar>
            <w:top w:w="0" w:type="dxa"/>
            <w:bottom w:w="0" w:type="dxa"/>
          </w:tblCellMar>
        </w:tblPrEx>
        <w:tc>
          <w:tcPr>
            <w:tcW w:w="9026" w:type="dxa"/>
            <w:tcBorders>
              <w:top w:val="nil"/>
              <w:left w:val="single" w:sz="1" w:space="0" w:color="185FA5"/>
              <w:bottom w:val="single" w:sz="1" w:space="0" w:color="185FA5"/>
              <w:right w:val="single" w:sz="1" w:space="0" w:color="185FA5"/>
            </w:tcBorders>
            <w:shd w:val="clear" w:color="auto" w:fill="FFFFFF"/>
            <w:tcMar>
              <w:top w:w="60" w:type="dxa"/>
              <w:left w:w="200" w:type="dxa"/>
              <w:bottom w:w="60" w:type="dxa"/>
              <w:right w:w="200" w:type="dxa"/>
            </w:tcMar>
          </w:tcPr>
          <w:p w14:paraId="484FA130" w14:textId="77777777" w:rsidR="00F56567" w:rsidRDefault="00F56567" w:rsidP="000E46D4">
            <w:pPr>
              <w:spacing w:before="40" w:after="40"/>
            </w:pPr>
            <w:r>
              <w:rPr>
                <w:color w:val="000000"/>
                <w:sz w:val="21"/>
                <w:szCs w:val="21"/>
              </w:rPr>
              <w:t>Nivel 3 (Especialista): Todo tipo de superficies incluyendo históricas, húmedas, con salitre, fachadas industriales, en condiciones variables.</w:t>
            </w:r>
          </w:p>
        </w:tc>
      </w:tr>
    </w:tbl>
    <w:p w14:paraId="19B7653A" w14:textId="77777777" w:rsidR="00F56567" w:rsidRDefault="00F56567" w:rsidP="00F56567">
      <w:pPr>
        <w:spacing w:before="200"/>
      </w:pPr>
    </w:p>
    <w:p w14:paraId="628CDBDF" w14:textId="322EFDEA" w:rsidR="00247996" w:rsidRDefault="00247996"/>
    <w:sectPr w:rsidR="002479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567"/>
    <w:rsid w:val="00247996"/>
    <w:rsid w:val="00410D14"/>
    <w:rsid w:val="009F7DB0"/>
    <w:rsid w:val="00BA13E8"/>
    <w:rsid w:val="00D620AF"/>
    <w:rsid w:val="00F5656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0F5C"/>
  <w15:chartTrackingRefBased/>
  <w15:docId w15:val="{97659193-2A8A-42EF-A754-DD872147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567"/>
    <w:pPr>
      <w:spacing w:after="0" w:line="240" w:lineRule="auto"/>
    </w:pPr>
    <w:rPr>
      <w:rFonts w:ascii="Arial" w:eastAsia="Arial" w:hAnsi="Arial" w:cs="Arial"/>
      <w:kern w:val="0"/>
      <w:lang w:eastAsia="es-PE"/>
      <w14:ligatures w14:val="none"/>
    </w:rPr>
  </w:style>
  <w:style w:type="paragraph" w:styleId="Ttulo1">
    <w:name w:val="heading 1"/>
    <w:basedOn w:val="Normal"/>
    <w:next w:val="Normal"/>
    <w:link w:val="Ttulo1Car"/>
    <w:uiPriority w:val="9"/>
    <w:qFormat/>
    <w:rsid w:val="00F5656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F5656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F5656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F56567"/>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F56567"/>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F56567"/>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F56567"/>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F56567"/>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F56567"/>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656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5656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5656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5656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5656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565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65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65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6567"/>
    <w:rPr>
      <w:rFonts w:eastAsiaTheme="majorEastAsia" w:cstheme="majorBidi"/>
      <w:color w:val="272727" w:themeColor="text1" w:themeTint="D8"/>
    </w:rPr>
  </w:style>
  <w:style w:type="paragraph" w:styleId="Ttulo">
    <w:name w:val="Title"/>
    <w:basedOn w:val="Normal"/>
    <w:next w:val="Normal"/>
    <w:link w:val="TtuloCar"/>
    <w:uiPriority w:val="10"/>
    <w:qFormat/>
    <w:rsid w:val="00F5656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F565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656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F565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6567"/>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F56567"/>
    <w:rPr>
      <w:i/>
      <w:iCs/>
      <w:color w:val="404040" w:themeColor="text1" w:themeTint="BF"/>
    </w:rPr>
  </w:style>
  <w:style w:type="paragraph" w:styleId="Prrafodelista">
    <w:name w:val="List Paragraph"/>
    <w:basedOn w:val="Normal"/>
    <w:uiPriority w:val="34"/>
    <w:qFormat/>
    <w:rsid w:val="00F56567"/>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F56567"/>
    <w:rPr>
      <w:i/>
      <w:iCs/>
      <w:color w:val="2F5496" w:themeColor="accent1" w:themeShade="BF"/>
    </w:rPr>
  </w:style>
  <w:style w:type="paragraph" w:styleId="Citadestacada">
    <w:name w:val="Intense Quote"/>
    <w:basedOn w:val="Normal"/>
    <w:next w:val="Normal"/>
    <w:link w:val="CitadestacadaCar"/>
    <w:uiPriority w:val="30"/>
    <w:qFormat/>
    <w:rsid w:val="00F5656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F56567"/>
    <w:rPr>
      <w:i/>
      <w:iCs/>
      <w:color w:val="2F5496" w:themeColor="accent1" w:themeShade="BF"/>
    </w:rPr>
  </w:style>
  <w:style w:type="character" w:styleId="Referenciaintensa">
    <w:name w:val="Intense Reference"/>
    <w:basedOn w:val="Fuentedeprrafopredeter"/>
    <w:uiPriority w:val="32"/>
    <w:qFormat/>
    <w:rsid w:val="00F565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1851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dc:creator>
  <cp:keywords/>
  <dc:description/>
  <cp:lastModifiedBy>MOISES</cp:lastModifiedBy>
  <cp:revision>1</cp:revision>
  <dcterms:created xsi:type="dcterms:W3CDTF">2026-04-17T15:36:00Z</dcterms:created>
  <dcterms:modified xsi:type="dcterms:W3CDTF">2026-04-17T15:36:00Z</dcterms:modified>
</cp:coreProperties>
</file>