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5099C" w14:paraId="4BE1A270" w14:textId="77777777" w:rsidTr="000E46D4">
        <w:tblPrEx>
          <w:tblCellMar>
            <w:top w:w="0" w:type="dxa"/>
            <w:bottom w:w="0" w:type="dxa"/>
          </w:tblCellMar>
        </w:tblPrEx>
        <w:tc>
          <w:tcPr>
            <w:tcW w:w="9026" w:type="dxa"/>
            <w:tcBorders>
              <w:top w:val="nil"/>
              <w:left w:val="nil"/>
              <w:bottom w:val="nil"/>
              <w:right w:val="nil"/>
            </w:tcBorders>
            <w:shd w:val="clear" w:color="auto" w:fill="534AB7"/>
            <w:tcMar>
              <w:top w:w="120" w:type="dxa"/>
              <w:left w:w="300" w:type="dxa"/>
              <w:bottom w:w="120" w:type="dxa"/>
              <w:right w:w="300" w:type="dxa"/>
            </w:tcMar>
          </w:tcPr>
          <w:p w14:paraId="12D9E2E2" w14:textId="5A98477E" w:rsidR="00C5099C" w:rsidRDefault="00C5099C" w:rsidP="000E46D4">
            <w:pPr>
              <w:jc w:val="center"/>
            </w:pPr>
            <w:r w:rsidRPr="00C5099C">
              <w:rPr>
                <w:b/>
                <w:bCs/>
                <w:color w:val="FFFFFF"/>
                <w:sz w:val="40"/>
                <w:szCs w:val="40"/>
              </w:rPr>
              <w:t>NCL — Norma de Competencia Laboral</w:t>
            </w:r>
          </w:p>
        </w:tc>
      </w:tr>
    </w:tbl>
    <w:p w14:paraId="2A216E38" w14:textId="77777777" w:rsidR="00C5099C" w:rsidRDefault="00C5099C" w:rsidP="00C5099C">
      <w:pPr>
        <w:spacing w:before="200"/>
      </w:pPr>
    </w:p>
    <w:p w14:paraId="5F8E116A" w14:textId="77777777" w:rsidR="00C5099C" w:rsidRDefault="00C5099C" w:rsidP="00C5099C">
      <w:pPr>
        <w:pStyle w:val="Ttulo2"/>
      </w:pPr>
      <w:r>
        <w:rPr>
          <w:rFonts w:ascii="Arial" w:eastAsia="Arial" w:hAnsi="Arial" w:cs="Arial"/>
          <w:b/>
          <w:bCs/>
          <w:color w:val="0F6E56"/>
          <w:sz w:val="26"/>
          <w:szCs w:val="26"/>
        </w:rPr>
        <w:t>¿Qué es?</w:t>
      </w:r>
    </w:p>
    <w:p w14:paraId="683EFCC0" w14:textId="77777777" w:rsidR="00C5099C" w:rsidRDefault="00C5099C" w:rsidP="00C5099C">
      <w:pPr>
        <w:spacing w:after="160" w:line="320" w:lineRule="auto"/>
        <w:jc w:val="both"/>
      </w:pPr>
      <w:r>
        <w:rPr>
          <w:color w:val="000000"/>
        </w:rPr>
        <w:t>La Norma de Competencia Laboral (NCL) es el documento técnico que describe, en términos evaluables, las funciones que debe cumplir una ocupación en el sistema productivo. Es el referente central de todo proceso de certificación: sin ella no hay evaluación posible.</w:t>
      </w:r>
    </w:p>
    <w:p w14:paraId="53734B82" w14:textId="77777777" w:rsidR="00C5099C" w:rsidRDefault="00C5099C" w:rsidP="00C5099C">
      <w:pPr>
        <w:spacing w:after="160" w:line="320" w:lineRule="auto"/>
        <w:jc w:val="both"/>
      </w:pPr>
      <w:r>
        <w:rPr>
          <w:color w:val="000000"/>
        </w:rPr>
        <w:t>No describe lo que el trabajador 'es' ni cómo aprendió. Describe lo que 'debe ocurrir' en el sistema productivo para que esa ocupación cumpla su propósito. Esta orientación al resultado del sistema —y no al comportamiento individual— es lo que le da legitimidad como referente neutral y objetivo.</w:t>
      </w:r>
    </w:p>
    <w:p w14:paraId="09249A70" w14:textId="77777777" w:rsidR="00C5099C" w:rsidRDefault="00C5099C" w:rsidP="00C5099C">
      <w:pPr>
        <w:spacing w:before="80"/>
      </w:pPr>
    </w:p>
    <w:p w14:paraId="5C4576DB" w14:textId="77777777" w:rsidR="00C5099C" w:rsidRDefault="00C5099C" w:rsidP="00C5099C">
      <w:pPr>
        <w:pStyle w:val="Ttulo2"/>
      </w:pPr>
      <w:r>
        <w:rPr>
          <w:rFonts w:ascii="Arial" w:eastAsia="Arial" w:hAnsi="Arial" w:cs="Arial"/>
          <w:b/>
          <w:bCs/>
          <w:color w:val="0F6E56"/>
          <w:sz w:val="26"/>
          <w:szCs w:val="26"/>
        </w:rPr>
        <w:t>¿Para qué sirve?</w:t>
      </w:r>
    </w:p>
    <w:p w14:paraId="6FED83ED" w14:textId="77777777" w:rsidR="00C5099C" w:rsidRDefault="00C5099C" w:rsidP="00C5099C">
      <w:pPr>
        <w:pStyle w:val="Prrafodelista"/>
        <w:numPr>
          <w:ilvl w:val="0"/>
          <w:numId w:val="1"/>
        </w:numPr>
        <w:spacing w:before="60" w:after="60" w:line="300" w:lineRule="auto"/>
        <w:contextualSpacing w:val="0"/>
      </w:pPr>
      <w:r>
        <w:rPr>
          <w:color w:val="000000"/>
        </w:rPr>
        <w:t>Define el estándar de desempeño aceptable para una ocupación en un sector determinado.</w:t>
      </w:r>
    </w:p>
    <w:p w14:paraId="05EB092C" w14:textId="77777777" w:rsidR="00C5099C" w:rsidRDefault="00C5099C" w:rsidP="00C5099C">
      <w:pPr>
        <w:pStyle w:val="Prrafodelista"/>
        <w:numPr>
          <w:ilvl w:val="0"/>
          <w:numId w:val="1"/>
        </w:numPr>
        <w:spacing w:before="60" w:after="60" w:line="300" w:lineRule="auto"/>
        <w:contextualSpacing w:val="0"/>
      </w:pPr>
      <w:r>
        <w:rPr>
          <w:color w:val="000000"/>
        </w:rPr>
        <w:t>Orienta al evaluador sobre qué debe observar, qué debe verificar y cómo debe emitir su juicio.</w:t>
      </w:r>
    </w:p>
    <w:p w14:paraId="24CB8A05" w14:textId="77777777" w:rsidR="00C5099C" w:rsidRDefault="00C5099C" w:rsidP="00C5099C">
      <w:pPr>
        <w:pStyle w:val="Prrafodelista"/>
        <w:numPr>
          <w:ilvl w:val="0"/>
          <w:numId w:val="1"/>
        </w:numPr>
        <w:spacing w:before="60" w:after="60" w:line="300" w:lineRule="auto"/>
        <w:contextualSpacing w:val="0"/>
      </w:pPr>
      <w:r>
        <w:rPr>
          <w:color w:val="000000"/>
        </w:rPr>
        <w:t>Permite que cualquier trabajador —independientemente de dónde aprendió— sea evaluado sobre la misma base.</w:t>
      </w:r>
    </w:p>
    <w:p w14:paraId="2F7A9BAA" w14:textId="77777777" w:rsidR="00C5099C" w:rsidRDefault="00C5099C" w:rsidP="00C5099C">
      <w:pPr>
        <w:pStyle w:val="Prrafodelista"/>
        <w:numPr>
          <w:ilvl w:val="0"/>
          <w:numId w:val="1"/>
        </w:numPr>
        <w:spacing w:before="60" w:after="60" w:line="300" w:lineRule="auto"/>
        <w:contextualSpacing w:val="0"/>
      </w:pPr>
      <w:r>
        <w:rPr>
          <w:color w:val="000000"/>
        </w:rPr>
        <w:t>Fundamenta el diseño de programas de formación basados en competencias.</w:t>
      </w:r>
    </w:p>
    <w:p w14:paraId="0DB284EE" w14:textId="77777777" w:rsidR="00C5099C" w:rsidRDefault="00C5099C" w:rsidP="00C5099C">
      <w:pPr>
        <w:spacing w:before="100"/>
      </w:pPr>
    </w:p>
    <w:p w14:paraId="14A24C78" w14:textId="77777777" w:rsidR="00C5099C" w:rsidRDefault="00C5099C" w:rsidP="00C5099C">
      <w:pPr>
        <w:pStyle w:val="Ttulo2"/>
      </w:pPr>
      <w:r>
        <w:rPr>
          <w:rFonts w:ascii="Arial" w:eastAsia="Arial" w:hAnsi="Arial" w:cs="Arial"/>
          <w:b/>
          <w:bCs/>
          <w:color w:val="0F6E56"/>
          <w:sz w:val="26"/>
          <w:szCs w:val="26"/>
        </w:rPr>
        <w:t>¿Qué información contiene el encabezado de una NCL?</w:t>
      </w:r>
    </w:p>
    <w:p w14:paraId="315C5F4D" w14:textId="77777777" w:rsidR="00C5099C" w:rsidRDefault="00C5099C" w:rsidP="00C5099C">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C5099C" w14:paraId="19F359B4" w14:textId="77777777" w:rsidTr="000E46D4">
        <w:tblPrEx>
          <w:tblCellMar>
            <w:top w:w="0" w:type="dxa"/>
            <w:bottom w:w="0" w:type="dxa"/>
          </w:tblCellMar>
        </w:tblPrEx>
        <w:tc>
          <w:tcPr>
            <w:tcW w:w="2200" w:type="dxa"/>
            <w:tcBorders>
              <w:top w:val="single" w:sz="1" w:space="0" w:color="888888"/>
              <w:left w:val="single" w:sz="1" w:space="0" w:color="888888"/>
              <w:bottom w:val="single" w:sz="1" w:space="0" w:color="888888"/>
              <w:right w:val="single" w:sz="1" w:space="0" w:color="888888"/>
            </w:tcBorders>
            <w:shd w:val="clear" w:color="auto" w:fill="534AB7"/>
            <w:tcMar>
              <w:top w:w="100" w:type="dxa"/>
              <w:left w:w="160" w:type="dxa"/>
              <w:bottom w:w="100" w:type="dxa"/>
              <w:right w:w="160" w:type="dxa"/>
            </w:tcMar>
          </w:tcPr>
          <w:p w14:paraId="3FC0E04B" w14:textId="77777777" w:rsidR="00C5099C" w:rsidRDefault="00C5099C" w:rsidP="000E46D4">
            <w:pPr>
              <w:jc w:val="center"/>
            </w:pPr>
            <w:r>
              <w:rPr>
                <w:b/>
                <w:bCs/>
                <w:color w:val="FFFFFF"/>
                <w:sz w:val="21"/>
                <w:szCs w:val="21"/>
              </w:rPr>
              <w:t>Campo</w:t>
            </w:r>
          </w:p>
        </w:tc>
        <w:tc>
          <w:tcPr>
            <w:tcW w:w="6826" w:type="dxa"/>
            <w:tcBorders>
              <w:top w:val="single" w:sz="1" w:space="0" w:color="888888"/>
              <w:left w:val="single" w:sz="1" w:space="0" w:color="888888"/>
              <w:bottom w:val="single" w:sz="1" w:space="0" w:color="888888"/>
              <w:right w:val="single" w:sz="1" w:space="0" w:color="888888"/>
            </w:tcBorders>
            <w:shd w:val="clear" w:color="auto" w:fill="534AB7"/>
            <w:tcMar>
              <w:top w:w="100" w:type="dxa"/>
              <w:left w:w="160" w:type="dxa"/>
              <w:bottom w:w="100" w:type="dxa"/>
              <w:right w:w="160" w:type="dxa"/>
            </w:tcMar>
          </w:tcPr>
          <w:p w14:paraId="6569767C" w14:textId="77777777" w:rsidR="00C5099C" w:rsidRDefault="00C5099C" w:rsidP="000E46D4">
            <w:pPr>
              <w:jc w:val="center"/>
            </w:pPr>
            <w:r>
              <w:rPr>
                <w:b/>
                <w:bCs/>
                <w:color w:val="FFFFFF"/>
                <w:sz w:val="21"/>
                <w:szCs w:val="21"/>
              </w:rPr>
              <w:t>Descripción</w:t>
            </w:r>
          </w:p>
        </w:tc>
      </w:tr>
      <w:tr w:rsidR="00C5099C" w14:paraId="2311A6B5" w14:textId="77777777" w:rsidTr="000E46D4">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EDFE"/>
            <w:tcMar>
              <w:top w:w="80" w:type="dxa"/>
              <w:left w:w="160" w:type="dxa"/>
              <w:bottom w:w="80" w:type="dxa"/>
              <w:right w:w="160" w:type="dxa"/>
            </w:tcMar>
          </w:tcPr>
          <w:p w14:paraId="27C4FC06" w14:textId="77777777" w:rsidR="00C5099C" w:rsidRDefault="00C5099C" w:rsidP="000E46D4">
            <w:r>
              <w:rPr>
                <w:b/>
                <w:bCs/>
                <w:color w:val="000000"/>
                <w:sz w:val="21"/>
                <w:szCs w:val="21"/>
              </w:rPr>
              <w:t>Sector</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4B053D68" w14:textId="77777777" w:rsidR="00C5099C" w:rsidRDefault="00C5099C" w:rsidP="000E46D4">
            <w:r>
              <w:rPr>
                <w:color w:val="000000"/>
                <w:sz w:val="21"/>
                <w:szCs w:val="21"/>
              </w:rPr>
              <w:t>Actividad económica o sector productivo al que pertenece la ocupación (</w:t>
            </w:r>
            <w:proofErr w:type="spellStart"/>
            <w:r>
              <w:rPr>
                <w:color w:val="000000"/>
                <w:sz w:val="21"/>
                <w:szCs w:val="21"/>
              </w:rPr>
              <w:t>ej</w:t>
            </w:r>
            <w:proofErr w:type="spellEnd"/>
            <w:r>
              <w:rPr>
                <w:color w:val="000000"/>
                <w:sz w:val="21"/>
                <w:szCs w:val="21"/>
              </w:rPr>
              <w:t>: construcción, manufactura, servicios)</w:t>
            </w:r>
          </w:p>
        </w:tc>
      </w:tr>
      <w:tr w:rsidR="00C5099C" w14:paraId="6FD954E6" w14:textId="77777777" w:rsidTr="000E46D4">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EDFE"/>
            <w:tcMar>
              <w:top w:w="80" w:type="dxa"/>
              <w:left w:w="160" w:type="dxa"/>
              <w:bottom w:w="80" w:type="dxa"/>
              <w:right w:w="160" w:type="dxa"/>
            </w:tcMar>
          </w:tcPr>
          <w:p w14:paraId="7735451E" w14:textId="77777777" w:rsidR="00C5099C" w:rsidRDefault="00C5099C" w:rsidP="000E46D4">
            <w:r>
              <w:rPr>
                <w:b/>
                <w:bCs/>
                <w:color w:val="000000"/>
                <w:sz w:val="21"/>
                <w:szCs w:val="21"/>
              </w:rPr>
              <w:t>Ocupación</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51A98828" w14:textId="77777777" w:rsidR="00C5099C" w:rsidRDefault="00C5099C" w:rsidP="000E46D4">
            <w:r>
              <w:rPr>
                <w:b/>
                <w:bCs/>
                <w:color w:val="000000"/>
                <w:sz w:val="21"/>
                <w:szCs w:val="21"/>
              </w:rPr>
              <w:t>Nombre técnico de la ocupación normalizada (</w:t>
            </w:r>
            <w:proofErr w:type="spellStart"/>
            <w:r>
              <w:rPr>
                <w:b/>
                <w:bCs/>
                <w:color w:val="000000"/>
                <w:sz w:val="21"/>
                <w:szCs w:val="21"/>
              </w:rPr>
              <w:t>ej</w:t>
            </w:r>
            <w:proofErr w:type="spellEnd"/>
            <w:r>
              <w:rPr>
                <w:b/>
                <w:bCs/>
                <w:color w:val="000000"/>
                <w:sz w:val="21"/>
                <w:szCs w:val="21"/>
              </w:rPr>
              <w:t>: operador de torno CNC, técnico en refrigeración)</w:t>
            </w:r>
          </w:p>
        </w:tc>
      </w:tr>
      <w:tr w:rsidR="00C5099C" w14:paraId="49B08D17" w14:textId="77777777" w:rsidTr="000E46D4">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EDFE"/>
            <w:tcMar>
              <w:top w:w="80" w:type="dxa"/>
              <w:left w:w="160" w:type="dxa"/>
              <w:bottom w:w="80" w:type="dxa"/>
              <w:right w:w="160" w:type="dxa"/>
            </w:tcMar>
          </w:tcPr>
          <w:p w14:paraId="7F9AEABF" w14:textId="77777777" w:rsidR="00C5099C" w:rsidRDefault="00C5099C" w:rsidP="000E46D4">
            <w:r>
              <w:rPr>
                <w:b/>
                <w:bCs/>
                <w:color w:val="000000"/>
                <w:sz w:val="21"/>
                <w:szCs w:val="21"/>
              </w:rPr>
              <w:t>Código</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752C9081" w14:textId="77777777" w:rsidR="00C5099C" w:rsidRDefault="00C5099C" w:rsidP="000E46D4">
            <w:r>
              <w:rPr>
                <w:color w:val="000000"/>
                <w:sz w:val="21"/>
                <w:szCs w:val="21"/>
              </w:rPr>
              <w:t>Identificador único asignado por el organismo nacional de certificación (</w:t>
            </w:r>
            <w:proofErr w:type="spellStart"/>
            <w:r>
              <w:rPr>
                <w:color w:val="000000"/>
                <w:sz w:val="21"/>
                <w:szCs w:val="21"/>
              </w:rPr>
              <w:t>ej</w:t>
            </w:r>
            <w:proofErr w:type="spellEnd"/>
            <w:r>
              <w:rPr>
                <w:color w:val="000000"/>
                <w:sz w:val="21"/>
                <w:szCs w:val="21"/>
              </w:rPr>
              <w:t>: SINEACE)</w:t>
            </w:r>
          </w:p>
        </w:tc>
      </w:tr>
      <w:tr w:rsidR="00C5099C" w14:paraId="6F7AE5EF" w14:textId="77777777" w:rsidTr="000E46D4">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EDFE"/>
            <w:tcMar>
              <w:top w:w="80" w:type="dxa"/>
              <w:left w:w="160" w:type="dxa"/>
              <w:bottom w:w="80" w:type="dxa"/>
              <w:right w:w="160" w:type="dxa"/>
            </w:tcMar>
          </w:tcPr>
          <w:p w14:paraId="1521784F" w14:textId="77777777" w:rsidR="00C5099C" w:rsidRDefault="00C5099C" w:rsidP="000E46D4">
            <w:r>
              <w:rPr>
                <w:b/>
                <w:bCs/>
                <w:color w:val="000000"/>
                <w:sz w:val="21"/>
                <w:szCs w:val="21"/>
              </w:rPr>
              <w:t>Nivel de competencia</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40113715" w14:textId="77777777" w:rsidR="00C5099C" w:rsidRDefault="00C5099C" w:rsidP="000E46D4">
            <w:r>
              <w:rPr>
                <w:color w:val="000000"/>
                <w:sz w:val="21"/>
                <w:szCs w:val="21"/>
              </w:rPr>
              <w:t>Grado de complejidad, autonomía y responsabilidad de la ocupación dentro de la escala de referencia del sistema</w:t>
            </w:r>
          </w:p>
        </w:tc>
      </w:tr>
      <w:tr w:rsidR="00C5099C" w14:paraId="207C0863" w14:textId="77777777" w:rsidTr="000E46D4">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EDFE"/>
            <w:tcMar>
              <w:top w:w="80" w:type="dxa"/>
              <w:left w:w="160" w:type="dxa"/>
              <w:bottom w:w="80" w:type="dxa"/>
              <w:right w:w="160" w:type="dxa"/>
            </w:tcMar>
          </w:tcPr>
          <w:p w14:paraId="58D402B3" w14:textId="77777777" w:rsidR="00C5099C" w:rsidRDefault="00C5099C" w:rsidP="000E46D4">
            <w:r>
              <w:rPr>
                <w:b/>
                <w:bCs/>
                <w:color w:val="000000"/>
                <w:sz w:val="21"/>
                <w:szCs w:val="21"/>
              </w:rPr>
              <w:t>Nivel de desempeño</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5878770D" w14:textId="77777777" w:rsidR="00C5099C" w:rsidRDefault="00C5099C" w:rsidP="000E46D4">
            <w:r>
              <w:rPr>
                <w:color w:val="000000"/>
                <w:sz w:val="21"/>
                <w:szCs w:val="21"/>
              </w:rPr>
              <w:t>Categoría ocupacional del mercado laboral para la que aplica esta NCL (</w:t>
            </w:r>
            <w:proofErr w:type="spellStart"/>
            <w:r>
              <w:rPr>
                <w:color w:val="000000"/>
                <w:sz w:val="21"/>
                <w:szCs w:val="21"/>
              </w:rPr>
              <w:t>ej</w:t>
            </w:r>
            <w:proofErr w:type="spellEnd"/>
            <w:r>
              <w:rPr>
                <w:color w:val="000000"/>
                <w:sz w:val="21"/>
                <w:szCs w:val="21"/>
              </w:rPr>
              <w:t>: ayudante, operario, especialista). Cada nivel es una NCL distinta.</w:t>
            </w:r>
          </w:p>
        </w:tc>
      </w:tr>
      <w:tr w:rsidR="00C5099C" w14:paraId="7E7953A4" w14:textId="77777777" w:rsidTr="000E46D4">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EDFE"/>
            <w:tcMar>
              <w:top w:w="80" w:type="dxa"/>
              <w:left w:w="160" w:type="dxa"/>
              <w:bottom w:w="80" w:type="dxa"/>
              <w:right w:w="160" w:type="dxa"/>
            </w:tcMar>
          </w:tcPr>
          <w:p w14:paraId="515A8F90" w14:textId="77777777" w:rsidR="00C5099C" w:rsidRDefault="00C5099C" w:rsidP="000E46D4">
            <w:r>
              <w:rPr>
                <w:b/>
                <w:bCs/>
                <w:color w:val="000000"/>
                <w:sz w:val="21"/>
                <w:szCs w:val="21"/>
              </w:rPr>
              <w:t>Metodología</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1A4259BC" w14:textId="77777777" w:rsidR="00C5099C" w:rsidRDefault="00C5099C" w:rsidP="000E46D4">
            <w:r>
              <w:rPr>
                <w:color w:val="000000"/>
                <w:sz w:val="21"/>
                <w:szCs w:val="21"/>
              </w:rPr>
              <w:t>Análisis funcional (metodología estándar en América Latina)</w:t>
            </w:r>
          </w:p>
        </w:tc>
      </w:tr>
      <w:tr w:rsidR="00C5099C" w14:paraId="15CEC6C0" w14:textId="77777777" w:rsidTr="000E46D4">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EDFE"/>
            <w:tcMar>
              <w:top w:w="80" w:type="dxa"/>
              <w:left w:w="160" w:type="dxa"/>
              <w:bottom w:w="80" w:type="dxa"/>
              <w:right w:w="160" w:type="dxa"/>
            </w:tcMar>
          </w:tcPr>
          <w:p w14:paraId="0F8AAC53" w14:textId="77777777" w:rsidR="00C5099C" w:rsidRDefault="00C5099C" w:rsidP="000E46D4">
            <w:r>
              <w:rPr>
                <w:b/>
                <w:bCs/>
                <w:color w:val="000000"/>
                <w:sz w:val="21"/>
                <w:szCs w:val="21"/>
              </w:rPr>
              <w:lastRenderedPageBreak/>
              <w:t>Aplicabilidad</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56019570" w14:textId="77777777" w:rsidR="00C5099C" w:rsidRDefault="00C5099C" w:rsidP="000E46D4">
            <w:r>
              <w:rPr>
                <w:color w:val="000000"/>
                <w:sz w:val="21"/>
                <w:szCs w:val="21"/>
              </w:rPr>
              <w:t>NCL específica: aplica a competencias técnicas propias de la ocupación. NCL transversal: aplica a competencias comunes a múltiples ocupaciones.</w:t>
            </w:r>
          </w:p>
        </w:tc>
      </w:tr>
    </w:tbl>
    <w:p w14:paraId="38AB7E28" w14:textId="77777777" w:rsidR="00C5099C" w:rsidRDefault="00C5099C" w:rsidP="00C5099C">
      <w:pPr>
        <w:spacing w:before="160"/>
      </w:pPr>
    </w:p>
    <w:p w14:paraId="2613862C" w14:textId="77777777" w:rsidR="00C5099C" w:rsidRDefault="00C5099C" w:rsidP="00C5099C">
      <w:pPr>
        <w:pStyle w:val="Ttulo2"/>
      </w:pPr>
      <w:r>
        <w:rPr>
          <w:rFonts w:ascii="Arial" w:eastAsia="Arial" w:hAnsi="Arial" w:cs="Arial"/>
          <w:b/>
          <w:bCs/>
          <w:color w:val="0F6E56"/>
          <w:sz w:val="26"/>
          <w:szCs w:val="26"/>
        </w:rPr>
        <w:t>¿Cómo se construye?</w:t>
      </w:r>
    </w:p>
    <w:p w14:paraId="560EFDF4" w14:textId="77777777" w:rsidR="00C5099C" w:rsidRDefault="00C5099C" w:rsidP="00C5099C">
      <w:pPr>
        <w:spacing w:after="160" w:line="320" w:lineRule="auto"/>
        <w:jc w:val="both"/>
      </w:pPr>
      <w:r>
        <w:rPr>
          <w:color w:val="000000"/>
        </w:rPr>
        <w:t>La NCL se construye mediante análisis funcional, realizado por un panel de expertos del sector (trabajadores, empleadores, formadores) conducido por un facilitador metodológico externo. El proceso parte del propósito principal de la ocupación y desciende por niveles de desagregación funcional hasta llegar a las subfunciones terminales, que se convierten en Elementos de Competencia.</w:t>
      </w:r>
    </w:p>
    <w:p w14:paraId="18316DC8" w14:textId="77777777" w:rsidR="00C5099C" w:rsidRDefault="00C5099C" w:rsidP="00C5099C">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5099C" w14:paraId="21811713" w14:textId="77777777" w:rsidTr="000E46D4">
        <w:tblPrEx>
          <w:tblCellMar>
            <w:top w:w="0" w:type="dxa"/>
            <w:bottom w:w="0" w:type="dxa"/>
          </w:tblCellMar>
        </w:tblPrEx>
        <w:tc>
          <w:tcPr>
            <w:tcW w:w="9026" w:type="dxa"/>
            <w:tcBorders>
              <w:top w:val="single" w:sz="1" w:space="0" w:color="185FA5"/>
              <w:left w:val="single" w:sz="1" w:space="0" w:color="185FA5"/>
              <w:bottom w:val="single" w:sz="1" w:space="0" w:color="185FA5"/>
              <w:right w:val="single" w:sz="1" w:space="0" w:color="185FA5"/>
            </w:tcBorders>
            <w:shd w:val="clear" w:color="auto" w:fill="E6F1FB"/>
            <w:tcMar>
              <w:top w:w="120" w:type="dxa"/>
              <w:left w:w="200" w:type="dxa"/>
              <w:bottom w:w="100" w:type="dxa"/>
              <w:right w:w="200" w:type="dxa"/>
            </w:tcMar>
          </w:tcPr>
          <w:p w14:paraId="3B4D59F6" w14:textId="77777777" w:rsidR="00C5099C" w:rsidRDefault="00C5099C" w:rsidP="000E46D4">
            <w:r>
              <w:rPr>
                <w:b/>
                <w:bCs/>
                <w:color w:val="185FA5"/>
                <w:sz w:val="24"/>
                <w:szCs w:val="24"/>
              </w:rPr>
              <w:t>Ejemplo</w:t>
            </w:r>
          </w:p>
        </w:tc>
      </w:tr>
      <w:tr w:rsidR="00C5099C" w14:paraId="04973DA3" w14:textId="77777777" w:rsidTr="000E46D4">
        <w:tblPrEx>
          <w:tblCellMar>
            <w:top w:w="0" w:type="dxa"/>
            <w:bottom w:w="0" w:type="dxa"/>
          </w:tblCellMar>
        </w:tblPrEx>
        <w:tc>
          <w:tcPr>
            <w:tcW w:w="9026" w:type="dxa"/>
            <w:tcBorders>
              <w:top w:val="nil"/>
              <w:left w:val="single" w:sz="1" w:space="0" w:color="185FA5"/>
              <w:bottom w:val="nil"/>
              <w:right w:val="single" w:sz="1" w:space="0" w:color="185FA5"/>
            </w:tcBorders>
            <w:shd w:val="clear" w:color="auto" w:fill="FFFFFF"/>
            <w:tcMar>
              <w:top w:w="60" w:type="dxa"/>
              <w:left w:w="200" w:type="dxa"/>
              <w:bottom w:w="60" w:type="dxa"/>
              <w:right w:w="200" w:type="dxa"/>
            </w:tcMar>
          </w:tcPr>
          <w:p w14:paraId="705EEC2C" w14:textId="77777777" w:rsidR="00C5099C" w:rsidRDefault="00C5099C" w:rsidP="000E46D4">
            <w:pPr>
              <w:spacing w:before="40" w:after="40"/>
            </w:pPr>
            <w:r>
              <w:rPr>
                <w:color w:val="000000"/>
                <w:sz w:val="21"/>
                <w:szCs w:val="21"/>
              </w:rPr>
              <w:t>NCL: "Realizar trabajos de pintura en edificaciones"</w:t>
            </w:r>
          </w:p>
        </w:tc>
      </w:tr>
      <w:tr w:rsidR="00C5099C" w14:paraId="40D85537" w14:textId="77777777" w:rsidTr="000E46D4">
        <w:tblPrEx>
          <w:tblCellMar>
            <w:top w:w="0" w:type="dxa"/>
            <w:bottom w:w="0" w:type="dxa"/>
          </w:tblCellMar>
        </w:tblPrEx>
        <w:tc>
          <w:tcPr>
            <w:tcW w:w="9026" w:type="dxa"/>
            <w:tcBorders>
              <w:top w:val="nil"/>
              <w:left w:val="single" w:sz="1" w:space="0" w:color="185FA5"/>
              <w:bottom w:val="nil"/>
              <w:right w:val="single" w:sz="1" w:space="0" w:color="185FA5"/>
            </w:tcBorders>
            <w:shd w:val="clear" w:color="auto" w:fill="FFFFFF"/>
            <w:tcMar>
              <w:top w:w="60" w:type="dxa"/>
              <w:left w:w="200" w:type="dxa"/>
              <w:bottom w:w="60" w:type="dxa"/>
              <w:right w:w="200" w:type="dxa"/>
            </w:tcMar>
          </w:tcPr>
          <w:p w14:paraId="39244E30" w14:textId="77777777" w:rsidR="00C5099C" w:rsidRDefault="00C5099C" w:rsidP="000E46D4">
            <w:pPr>
              <w:spacing w:before="40" w:after="40"/>
            </w:pPr>
            <w:r>
              <w:rPr>
                <w:color w:val="000000"/>
                <w:sz w:val="21"/>
                <w:szCs w:val="21"/>
              </w:rPr>
              <w:t xml:space="preserve">Sector: </w:t>
            </w:r>
            <w:proofErr w:type="gramStart"/>
            <w:r>
              <w:rPr>
                <w:color w:val="000000"/>
                <w:sz w:val="21"/>
                <w:szCs w:val="21"/>
              </w:rPr>
              <w:t>Construcción  |</w:t>
            </w:r>
            <w:proofErr w:type="gramEnd"/>
            <w:r>
              <w:rPr>
                <w:color w:val="000000"/>
                <w:sz w:val="21"/>
                <w:szCs w:val="21"/>
              </w:rPr>
              <w:t xml:space="preserve">  Nivel de desempeño: </w:t>
            </w:r>
            <w:proofErr w:type="gramStart"/>
            <w:r>
              <w:rPr>
                <w:color w:val="000000"/>
                <w:sz w:val="21"/>
                <w:szCs w:val="21"/>
              </w:rPr>
              <w:t>Operario  |</w:t>
            </w:r>
            <w:proofErr w:type="gramEnd"/>
            <w:r>
              <w:rPr>
                <w:color w:val="000000"/>
                <w:sz w:val="21"/>
                <w:szCs w:val="21"/>
              </w:rPr>
              <w:t xml:space="preserve">  Código: CON-PIN-02</w:t>
            </w:r>
          </w:p>
        </w:tc>
      </w:tr>
      <w:tr w:rsidR="00C5099C" w14:paraId="1C3AC03A" w14:textId="77777777" w:rsidTr="000E46D4">
        <w:tblPrEx>
          <w:tblCellMar>
            <w:top w:w="0" w:type="dxa"/>
            <w:bottom w:w="0" w:type="dxa"/>
          </w:tblCellMar>
        </w:tblPrEx>
        <w:tc>
          <w:tcPr>
            <w:tcW w:w="9026" w:type="dxa"/>
            <w:tcBorders>
              <w:top w:val="nil"/>
              <w:left w:val="single" w:sz="1" w:space="0" w:color="185FA5"/>
              <w:bottom w:val="single" w:sz="1" w:space="0" w:color="185FA5"/>
              <w:right w:val="single" w:sz="1" w:space="0" w:color="185FA5"/>
            </w:tcBorders>
            <w:shd w:val="clear" w:color="auto" w:fill="FFFFFF"/>
            <w:tcMar>
              <w:top w:w="60" w:type="dxa"/>
              <w:left w:w="200" w:type="dxa"/>
              <w:bottom w:w="60" w:type="dxa"/>
              <w:right w:w="200" w:type="dxa"/>
            </w:tcMar>
          </w:tcPr>
          <w:p w14:paraId="4649E749" w14:textId="77777777" w:rsidR="00C5099C" w:rsidRDefault="00C5099C" w:rsidP="000E46D4">
            <w:pPr>
              <w:spacing w:before="40" w:after="40"/>
            </w:pPr>
            <w:r>
              <w:rPr>
                <w:color w:val="000000"/>
                <w:sz w:val="21"/>
                <w:szCs w:val="21"/>
              </w:rPr>
              <w:t xml:space="preserve">Metodología: Análisis </w:t>
            </w:r>
            <w:proofErr w:type="gramStart"/>
            <w:r>
              <w:rPr>
                <w:color w:val="000000"/>
                <w:sz w:val="21"/>
                <w:szCs w:val="21"/>
              </w:rPr>
              <w:t>funcional  |</w:t>
            </w:r>
            <w:proofErr w:type="gramEnd"/>
            <w:r>
              <w:rPr>
                <w:color w:val="000000"/>
                <w:sz w:val="21"/>
                <w:szCs w:val="21"/>
              </w:rPr>
              <w:t xml:space="preserve">  Aplicabilidad: NCL específica</w:t>
            </w:r>
          </w:p>
        </w:tc>
      </w:tr>
    </w:tbl>
    <w:p w14:paraId="61DA5323" w14:textId="77777777" w:rsidR="00247996" w:rsidRDefault="00247996"/>
    <w:sectPr w:rsidR="002479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914FA"/>
    <w:multiLevelType w:val="hybridMultilevel"/>
    <w:tmpl w:val="D4F2D2A2"/>
    <w:lvl w:ilvl="0" w:tplc="2B744840">
      <w:start w:val="1"/>
      <w:numFmt w:val="bullet"/>
      <w:lvlText w:val="•"/>
      <w:lvlJc w:val="left"/>
      <w:pPr>
        <w:ind w:left="720" w:hanging="360"/>
      </w:pPr>
    </w:lvl>
    <w:lvl w:ilvl="1" w:tplc="57468B62">
      <w:numFmt w:val="decimal"/>
      <w:lvlText w:val=""/>
      <w:lvlJc w:val="left"/>
    </w:lvl>
    <w:lvl w:ilvl="2" w:tplc="9428637A">
      <w:numFmt w:val="decimal"/>
      <w:lvlText w:val=""/>
      <w:lvlJc w:val="left"/>
    </w:lvl>
    <w:lvl w:ilvl="3" w:tplc="D65E5E40">
      <w:numFmt w:val="decimal"/>
      <w:lvlText w:val=""/>
      <w:lvlJc w:val="left"/>
    </w:lvl>
    <w:lvl w:ilvl="4" w:tplc="5AB65578">
      <w:numFmt w:val="decimal"/>
      <w:lvlText w:val=""/>
      <w:lvlJc w:val="left"/>
    </w:lvl>
    <w:lvl w:ilvl="5" w:tplc="50FADE64">
      <w:numFmt w:val="decimal"/>
      <w:lvlText w:val=""/>
      <w:lvlJc w:val="left"/>
    </w:lvl>
    <w:lvl w:ilvl="6" w:tplc="23408F26">
      <w:numFmt w:val="decimal"/>
      <w:lvlText w:val=""/>
      <w:lvlJc w:val="left"/>
    </w:lvl>
    <w:lvl w:ilvl="7" w:tplc="28A0E192">
      <w:numFmt w:val="decimal"/>
      <w:lvlText w:val=""/>
      <w:lvlJc w:val="left"/>
    </w:lvl>
    <w:lvl w:ilvl="8" w:tplc="2904D9DC">
      <w:numFmt w:val="decimal"/>
      <w:lvlText w:val=""/>
      <w:lvlJc w:val="left"/>
    </w:lvl>
  </w:abstractNum>
  <w:num w:numId="1" w16cid:durableId="20467160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9C"/>
    <w:rsid w:val="00247996"/>
    <w:rsid w:val="00410D14"/>
    <w:rsid w:val="009F7DB0"/>
    <w:rsid w:val="00BA13E8"/>
    <w:rsid w:val="00C5099C"/>
    <w:rsid w:val="00D620A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2FE1"/>
  <w15:chartTrackingRefBased/>
  <w15:docId w15:val="{B0C024E8-2E93-4082-81B3-D1433D55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99C"/>
    <w:pPr>
      <w:spacing w:after="0" w:line="240" w:lineRule="auto"/>
    </w:pPr>
    <w:rPr>
      <w:rFonts w:ascii="Arial" w:eastAsia="Arial" w:hAnsi="Arial" w:cs="Arial"/>
      <w:kern w:val="0"/>
      <w:lang w:eastAsia="es-PE"/>
      <w14:ligatures w14:val="none"/>
    </w:rPr>
  </w:style>
  <w:style w:type="paragraph" w:styleId="Ttulo1">
    <w:name w:val="heading 1"/>
    <w:basedOn w:val="Normal"/>
    <w:next w:val="Normal"/>
    <w:link w:val="Ttulo1Car"/>
    <w:uiPriority w:val="9"/>
    <w:qFormat/>
    <w:rsid w:val="00C50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C50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5099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5099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5099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5099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099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099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099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099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5099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5099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5099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5099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5099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099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099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099C"/>
    <w:rPr>
      <w:rFonts w:eastAsiaTheme="majorEastAsia" w:cstheme="majorBidi"/>
      <w:color w:val="272727" w:themeColor="text1" w:themeTint="D8"/>
    </w:rPr>
  </w:style>
  <w:style w:type="paragraph" w:styleId="Ttulo">
    <w:name w:val="Title"/>
    <w:basedOn w:val="Normal"/>
    <w:next w:val="Normal"/>
    <w:link w:val="TtuloCar"/>
    <w:uiPriority w:val="10"/>
    <w:qFormat/>
    <w:rsid w:val="00C5099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09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099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099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099C"/>
    <w:pPr>
      <w:spacing w:before="160"/>
      <w:jc w:val="center"/>
    </w:pPr>
    <w:rPr>
      <w:i/>
      <w:iCs/>
      <w:color w:val="404040" w:themeColor="text1" w:themeTint="BF"/>
    </w:rPr>
  </w:style>
  <w:style w:type="character" w:customStyle="1" w:styleId="CitaCar">
    <w:name w:val="Cita Car"/>
    <w:basedOn w:val="Fuentedeprrafopredeter"/>
    <w:link w:val="Cita"/>
    <w:uiPriority w:val="29"/>
    <w:rsid w:val="00C5099C"/>
    <w:rPr>
      <w:i/>
      <w:iCs/>
      <w:color w:val="404040" w:themeColor="text1" w:themeTint="BF"/>
    </w:rPr>
  </w:style>
  <w:style w:type="paragraph" w:styleId="Prrafodelista">
    <w:name w:val="List Paragraph"/>
    <w:basedOn w:val="Normal"/>
    <w:qFormat/>
    <w:rsid w:val="00C5099C"/>
    <w:pPr>
      <w:ind w:left="720"/>
      <w:contextualSpacing/>
    </w:pPr>
  </w:style>
  <w:style w:type="character" w:styleId="nfasisintenso">
    <w:name w:val="Intense Emphasis"/>
    <w:basedOn w:val="Fuentedeprrafopredeter"/>
    <w:uiPriority w:val="21"/>
    <w:qFormat/>
    <w:rsid w:val="00C5099C"/>
    <w:rPr>
      <w:i/>
      <w:iCs/>
      <w:color w:val="2F5496" w:themeColor="accent1" w:themeShade="BF"/>
    </w:rPr>
  </w:style>
  <w:style w:type="paragraph" w:styleId="Citadestacada">
    <w:name w:val="Intense Quote"/>
    <w:basedOn w:val="Normal"/>
    <w:next w:val="Normal"/>
    <w:link w:val="CitadestacadaCar"/>
    <w:uiPriority w:val="30"/>
    <w:qFormat/>
    <w:rsid w:val="00C50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5099C"/>
    <w:rPr>
      <w:i/>
      <w:iCs/>
      <w:color w:val="2F5496" w:themeColor="accent1" w:themeShade="BF"/>
    </w:rPr>
  </w:style>
  <w:style w:type="character" w:styleId="Referenciaintensa">
    <w:name w:val="Intense Reference"/>
    <w:basedOn w:val="Fuentedeprrafopredeter"/>
    <w:uiPriority w:val="32"/>
    <w:qFormat/>
    <w:rsid w:val="00C509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2138</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dc:creator>
  <cp:keywords/>
  <dc:description/>
  <cp:lastModifiedBy>MOISES</cp:lastModifiedBy>
  <cp:revision>1</cp:revision>
  <dcterms:created xsi:type="dcterms:W3CDTF">2026-04-17T15:21:00Z</dcterms:created>
  <dcterms:modified xsi:type="dcterms:W3CDTF">2026-04-17T15:22:00Z</dcterms:modified>
</cp:coreProperties>
</file>