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1528" w14:textId="2D1270DD" w:rsidR="00D06C30" w:rsidRPr="00D06C30" w:rsidRDefault="00D06C30" w:rsidP="00D06C3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ALINEAMIENTO DEL SUNEDU “</w:t>
      </w:r>
      <w:r w:rsidRPr="00D06C30">
        <w:rPr>
          <w:rFonts w:cstheme="minorHAnsi"/>
          <w:b/>
          <w:bCs/>
          <w:sz w:val="24"/>
          <w:szCs w:val="24"/>
        </w:rPr>
        <w:t>EL MODELO DE LICENCIAMIENTO Y SU IMPLEMENTACIÓN EN EL SISTEMA UNIVERSITARIO PERUANO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” CON EL PROPOSITO Y OBJETIVOS IPP</w:t>
      </w:r>
    </w:p>
    <w:p w14:paraId="4034519B" w14:textId="01911E8E" w:rsidR="00D06C30" w:rsidRPr="00D06C30" w:rsidRDefault="00D06C30" w:rsidP="00D06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1. CONCEPTOS CLAVE DEL MODELO SUNEDU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7"/>
        <w:gridCol w:w="3575"/>
        <w:gridCol w:w="2742"/>
      </w:tblGrid>
      <w:tr w:rsidR="00D06C30" w:rsidRPr="00D06C30" w14:paraId="2B1A3B18" w14:textId="77777777" w:rsidTr="00D06C30">
        <w:tc>
          <w:tcPr>
            <w:tcW w:w="0" w:type="auto"/>
            <w:hideMark/>
          </w:tcPr>
          <w:p w14:paraId="322B8AAA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SUNEDU</w:t>
            </w:r>
          </w:p>
        </w:tc>
        <w:tc>
          <w:tcPr>
            <w:tcW w:w="0" w:type="auto"/>
            <w:hideMark/>
          </w:tcPr>
          <w:p w14:paraId="4B73700D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Significado según el documento</w:t>
            </w:r>
          </w:p>
        </w:tc>
        <w:tc>
          <w:tcPr>
            <w:tcW w:w="0" w:type="auto"/>
            <w:hideMark/>
          </w:tcPr>
          <w:p w14:paraId="269E89D3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con el IPP</w:t>
            </w:r>
          </w:p>
        </w:tc>
      </w:tr>
      <w:tr w:rsidR="00D06C30" w:rsidRPr="00D06C30" w14:paraId="4A2348C2" w14:textId="77777777" w:rsidTr="00D06C30">
        <w:tc>
          <w:tcPr>
            <w:tcW w:w="0" w:type="auto"/>
            <w:hideMark/>
          </w:tcPr>
          <w:p w14:paraId="2859E096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Calidad como condiciones básicas esenciales (CBC)</w:t>
            </w:r>
          </w:p>
        </w:tc>
        <w:tc>
          <w:tcPr>
            <w:tcW w:w="0" w:type="auto"/>
            <w:hideMark/>
          </w:tcPr>
          <w:p w14:paraId="1B099E4E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La calidad se garantiza asegurando que TODAS las universidades cumplan estándares mínimos de funcionamiento (docentes, infraestructura, investigación, gestión).</w:t>
            </w:r>
          </w:p>
        </w:tc>
        <w:tc>
          <w:tcPr>
            <w:tcW w:w="0" w:type="auto"/>
            <w:hideMark/>
          </w:tcPr>
          <w:p w14:paraId="5B0AD89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IPP complementa: el Estado garantiza </w:t>
            </w:r>
            <w:r w:rsidRPr="00D06C30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mínimos</w:t>
            </w: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, el IPP construye la </w:t>
            </w:r>
            <w:r w:rsidRPr="00D06C30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excelencia profesional</w:t>
            </w: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del ingeniero.</w:t>
            </w:r>
          </w:p>
        </w:tc>
      </w:tr>
      <w:tr w:rsidR="00D06C30" w:rsidRPr="00D06C30" w14:paraId="449F0723" w14:textId="77777777" w:rsidTr="00D06C30">
        <w:tc>
          <w:tcPr>
            <w:tcW w:w="0" w:type="auto"/>
            <w:hideMark/>
          </w:tcPr>
          <w:p w14:paraId="46AB0DA6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Adecuación entre propósitos y resultados</w:t>
            </w:r>
          </w:p>
        </w:tc>
        <w:tc>
          <w:tcPr>
            <w:tcW w:w="0" w:type="auto"/>
            <w:hideMark/>
          </w:tcPr>
          <w:p w14:paraId="2B37649C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La calidad depende de si la universidad cumple lo que promete y si está alineada a su misión.</w:t>
            </w:r>
          </w:p>
        </w:tc>
        <w:tc>
          <w:tcPr>
            <w:tcW w:w="0" w:type="auto"/>
            <w:hideMark/>
          </w:tcPr>
          <w:p w14:paraId="071B7D35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usa esto para exigir coherencia entre formación y necesidades del país (Objetivo 3).</w:t>
            </w:r>
          </w:p>
        </w:tc>
      </w:tr>
      <w:tr w:rsidR="00D06C30" w:rsidRPr="00D06C30" w14:paraId="7A4AB8E4" w14:textId="77777777" w:rsidTr="00D06C30">
        <w:tc>
          <w:tcPr>
            <w:tcW w:w="0" w:type="auto"/>
            <w:hideMark/>
          </w:tcPr>
          <w:p w14:paraId="23E19BFD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Enfoque de resultados</w:t>
            </w:r>
          </w:p>
        </w:tc>
        <w:tc>
          <w:tcPr>
            <w:tcW w:w="0" w:type="auto"/>
            <w:hideMark/>
          </w:tcPr>
          <w:p w14:paraId="2129FD5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SUNEDU evalúa efectividad, no declaraciones.</w:t>
            </w:r>
          </w:p>
        </w:tc>
        <w:tc>
          <w:tcPr>
            <w:tcW w:w="0" w:type="auto"/>
            <w:hideMark/>
          </w:tcPr>
          <w:p w14:paraId="62E80668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también mide resultados: desempeño, competencias, impacto del ingeniero (Objetivos 1 y 4).</w:t>
            </w:r>
          </w:p>
        </w:tc>
      </w:tr>
      <w:tr w:rsidR="00D06C30" w:rsidRPr="00D06C30" w14:paraId="314904C1" w14:textId="77777777" w:rsidTr="00D06C30">
        <w:tc>
          <w:tcPr>
            <w:tcW w:w="0" w:type="auto"/>
            <w:hideMark/>
          </w:tcPr>
          <w:p w14:paraId="1FA3FF5C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Aseguramiento de la calidad como ciclo continuo</w:t>
            </w:r>
          </w:p>
        </w:tc>
        <w:tc>
          <w:tcPr>
            <w:tcW w:w="0" w:type="auto"/>
            <w:hideMark/>
          </w:tcPr>
          <w:p w14:paraId="71884210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El licenciamiento no es un evento, es parte de un proceso coordinado con otras instituciones.</w:t>
            </w:r>
          </w:p>
        </w:tc>
        <w:tc>
          <w:tcPr>
            <w:tcW w:w="0" w:type="auto"/>
            <w:hideMark/>
          </w:tcPr>
          <w:p w14:paraId="135B514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replica este enfoque en el ejercicio profesional: evaluación + actualización continua (Objetivo 5).</w:t>
            </w:r>
          </w:p>
        </w:tc>
      </w:tr>
      <w:tr w:rsidR="00D06C30" w:rsidRPr="00D06C30" w14:paraId="00BEFAE2" w14:textId="77777777" w:rsidTr="00D06C30">
        <w:tc>
          <w:tcPr>
            <w:tcW w:w="0" w:type="auto"/>
            <w:hideMark/>
          </w:tcPr>
          <w:p w14:paraId="5948274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Supervisión basada en evidencia</w:t>
            </w:r>
          </w:p>
        </w:tc>
        <w:tc>
          <w:tcPr>
            <w:tcW w:w="0" w:type="auto"/>
            <w:hideMark/>
          </w:tcPr>
          <w:p w14:paraId="40185784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Todas las decisiones se toman con datos verificables y criterios explícitos.</w:t>
            </w:r>
          </w:p>
        </w:tc>
        <w:tc>
          <w:tcPr>
            <w:tcW w:w="0" w:type="auto"/>
            <w:hideMark/>
          </w:tcPr>
          <w:p w14:paraId="00E232AE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Respaldado por el Observatorio del IPP (Objetivo 4).</w:t>
            </w:r>
          </w:p>
        </w:tc>
      </w:tr>
      <w:tr w:rsidR="00D06C30" w:rsidRPr="00D06C30" w14:paraId="1E477E80" w14:textId="77777777" w:rsidTr="00D06C30">
        <w:tc>
          <w:tcPr>
            <w:tcW w:w="0" w:type="auto"/>
            <w:hideMark/>
          </w:tcPr>
          <w:p w14:paraId="39AB5006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Interés público del sistema universitario</w:t>
            </w:r>
          </w:p>
        </w:tc>
        <w:tc>
          <w:tcPr>
            <w:tcW w:w="0" w:type="auto"/>
            <w:hideMark/>
          </w:tcPr>
          <w:p w14:paraId="7C29C3B0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La universidad cumple función social, forma talento para el país.</w:t>
            </w:r>
          </w:p>
        </w:tc>
        <w:tc>
          <w:tcPr>
            <w:tcW w:w="0" w:type="auto"/>
            <w:hideMark/>
          </w:tcPr>
          <w:p w14:paraId="69452FC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toma esta base y la extiende: la ingeniería es motor del desarrollo nacional (Objetivo 7).</w:t>
            </w:r>
          </w:p>
        </w:tc>
      </w:tr>
      <w:tr w:rsidR="00D06C30" w:rsidRPr="00D06C30" w14:paraId="14E1ABE0" w14:textId="77777777" w:rsidTr="00D06C30">
        <w:tc>
          <w:tcPr>
            <w:tcW w:w="0" w:type="auto"/>
            <w:hideMark/>
          </w:tcPr>
          <w:p w14:paraId="37CCC2BA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Riesgos para la calidad</w:t>
            </w:r>
          </w:p>
        </w:tc>
        <w:tc>
          <w:tcPr>
            <w:tcW w:w="0" w:type="auto"/>
            <w:hideMark/>
          </w:tcPr>
          <w:p w14:paraId="45572553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SUNEDU identifica factores que afectan la calidad y los corrige.</w:t>
            </w:r>
          </w:p>
        </w:tc>
        <w:tc>
          <w:tcPr>
            <w:tcW w:w="0" w:type="auto"/>
            <w:hideMark/>
          </w:tcPr>
          <w:p w14:paraId="3B3FAD21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identifica riesgos en desempeño profesional (ética, competencias, impacto).</w:t>
            </w:r>
          </w:p>
        </w:tc>
      </w:tr>
    </w:tbl>
    <w:p w14:paraId="308B5E88" w14:textId="77777777" w:rsidR="00D06C30" w:rsidRPr="00D06C30" w:rsidRDefault="00D06C30" w:rsidP="00D06C3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pict w14:anchorId="7CC190D5">
          <v:rect id="_x0000_i1026" style="width:0;height:1.5pt" o:hralign="center" o:hrstd="t" o:hr="t" fillcolor="#a0a0a0" stroked="f"/>
        </w:pict>
      </w:r>
    </w:p>
    <w:p w14:paraId="6DB65D0C" w14:textId="42FF0621" w:rsidR="00D06C30" w:rsidRPr="00D06C30" w:rsidRDefault="00D06C30" w:rsidP="00D06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2. LINEAMIENTOS DEL MODELO SUNEDU QUE SIRVEN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6"/>
        <w:gridCol w:w="5278"/>
      </w:tblGrid>
      <w:tr w:rsidR="00D06C30" w:rsidRPr="00D06C30" w14:paraId="58F78E37" w14:textId="77777777" w:rsidTr="00D06C30">
        <w:tc>
          <w:tcPr>
            <w:tcW w:w="0" w:type="auto"/>
            <w:hideMark/>
          </w:tcPr>
          <w:p w14:paraId="081C86CE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SUNEDU</w:t>
            </w:r>
          </w:p>
        </w:tc>
        <w:tc>
          <w:tcPr>
            <w:tcW w:w="0" w:type="auto"/>
            <w:hideMark/>
          </w:tcPr>
          <w:p w14:paraId="496C409C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directa al IPP</w:t>
            </w:r>
          </w:p>
        </w:tc>
      </w:tr>
      <w:tr w:rsidR="00D06C30" w:rsidRPr="00D06C30" w14:paraId="6C185D7C" w14:textId="77777777" w:rsidTr="00D06C30">
        <w:tc>
          <w:tcPr>
            <w:tcW w:w="0" w:type="auto"/>
            <w:hideMark/>
          </w:tcPr>
          <w:p w14:paraId="2C17C340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Tomar decisiones basadas en evidencia</w:t>
            </w:r>
          </w:p>
        </w:tc>
        <w:tc>
          <w:tcPr>
            <w:tcW w:w="0" w:type="auto"/>
            <w:hideMark/>
          </w:tcPr>
          <w:p w14:paraId="26AA3DFA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Permite justificar el Observatorio de Empleabilidad e Inteligencia de Competencias (Objetivo 4).</w:t>
            </w:r>
          </w:p>
        </w:tc>
      </w:tr>
      <w:tr w:rsidR="00D06C30" w:rsidRPr="00D06C30" w14:paraId="6BEE977A" w14:textId="77777777" w:rsidTr="00D06C30">
        <w:tc>
          <w:tcPr>
            <w:tcW w:w="0" w:type="auto"/>
            <w:hideMark/>
          </w:tcPr>
          <w:p w14:paraId="7DC74AB1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Asegurar mínimos antes de aspirar a excelencia</w:t>
            </w:r>
          </w:p>
        </w:tc>
        <w:tc>
          <w:tcPr>
            <w:tcW w:w="0" w:type="auto"/>
            <w:hideMark/>
          </w:tcPr>
          <w:p w14:paraId="618950D3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distingue entre: competencias mínimas indispensables y competencias avanzadas de excelencia (Objetivo 1).</w:t>
            </w:r>
          </w:p>
        </w:tc>
      </w:tr>
      <w:tr w:rsidR="00D06C30" w:rsidRPr="00D06C30" w14:paraId="47F6BE5B" w14:textId="77777777" w:rsidTr="00D06C30">
        <w:tc>
          <w:tcPr>
            <w:tcW w:w="0" w:type="auto"/>
            <w:hideMark/>
          </w:tcPr>
          <w:p w14:paraId="3B360195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Garantizar coherencia entre fines, procesos y resultados</w:t>
            </w:r>
          </w:p>
        </w:tc>
        <w:tc>
          <w:tcPr>
            <w:tcW w:w="0" w:type="auto"/>
            <w:hideMark/>
          </w:tcPr>
          <w:p w14:paraId="21E77817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exige que universidades y CIP se alineen a un mismo marco nacional de competencias (Objetivo 3).</w:t>
            </w:r>
          </w:p>
        </w:tc>
      </w:tr>
      <w:tr w:rsidR="00D06C30" w:rsidRPr="00D06C30" w14:paraId="0BF28A2F" w14:textId="77777777" w:rsidTr="00D06C30">
        <w:tc>
          <w:tcPr>
            <w:tcW w:w="0" w:type="auto"/>
            <w:hideMark/>
          </w:tcPr>
          <w:p w14:paraId="5FF18525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Intervención oportuna ante riesgos</w:t>
            </w:r>
          </w:p>
        </w:tc>
        <w:tc>
          <w:tcPr>
            <w:tcW w:w="0" w:type="auto"/>
            <w:hideMark/>
          </w:tcPr>
          <w:p w14:paraId="4F8DBF59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puede usar alertas tempranas sobre brechas profesionales críticas para prevenir crisis sectoriales.</w:t>
            </w:r>
          </w:p>
        </w:tc>
      </w:tr>
      <w:tr w:rsidR="00D06C30" w:rsidRPr="00D06C30" w14:paraId="6662E333" w14:textId="77777777" w:rsidTr="00D06C30">
        <w:tc>
          <w:tcPr>
            <w:tcW w:w="0" w:type="auto"/>
            <w:hideMark/>
          </w:tcPr>
          <w:p w14:paraId="72ABE02C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Transparencia en información pública</w:t>
            </w:r>
          </w:p>
        </w:tc>
        <w:tc>
          <w:tcPr>
            <w:tcW w:w="0" w:type="auto"/>
            <w:hideMark/>
          </w:tcPr>
          <w:p w14:paraId="46C3F38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El IPP publica datos del Observatorio para orientar políticas y decisiones privadas.</w:t>
            </w:r>
          </w:p>
        </w:tc>
      </w:tr>
      <w:tr w:rsidR="00D06C30" w:rsidRPr="00D06C30" w14:paraId="45856549" w14:textId="77777777" w:rsidTr="00D06C30">
        <w:tc>
          <w:tcPr>
            <w:tcW w:w="0" w:type="auto"/>
            <w:hideMark/>
          </w:tcPr>
          <w:p w14:paraId="7AB31535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Coordinación entre instituciones del Estado</w:t>
            </w:r>
          </w:p>
        </w:tc>
        <w:tc>
          <w:tcPr>
            <w:tcW w:w="0" w:type="auto"/>
            <w:hideMark/>
          </w:tcPr>
          <w:p w14:paraId="434191D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facilita coordinación entre universidades, CIP, empresas y Estado (Objetivo 2).</w:t>
            </w:r>
          </w:p>
        </w:tc>
      </w:tr>
    </w:tbl>
    <w:p w14:paraId="298B7C7C" w14:textId="77777777" w:rsidR="00D06C30" w:rsidRPr="00D06C30" w:rsidRDefault="00D06C30" w:rsidP="00D06C3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pict w14:anchorId="28DE2375">
          <v:rect id="_x0000_i1027" style="width:0;height:1.5pt" o:hralign="center" o:hrstd="t" o:hr="t" fillcolor="#a0a0a0" stroked="f"/>
        </w:pict>
      </w:r>
    </w:p>
    <w:p w14:paraId="67336827" w14:textId="7285B3A1" w:rsidR="00D06C30" w:rsidRPr="00D06C30" w:rsidRDefault="00D06C30" w:rsidP="00D06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3. POLÍTICAS IMPLÍCITAS/EXPLÍCITAS DEL MODELO SUNEDU TRADUCIDAS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8"/>
        <w:gridCol w:w="4556"/>
      </w:tblGrid>
      <w:tr w:rsidR="00D06C30" w:rsidRPr="00D06C30" w14:paraId="46C2A758" w14:textId="77777777" w:rsidTr="00D06C30">
        <w:tc>
          <w:tcPr>
            <w:tcW w:w="0" w:type="auto"/>
            <w:hideMark/>
          </w:tcPr>
          <w:p w14:paraId="3A2F8878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SUNEDU</w:t>
            </w:r>
          </w:p>
        </w:tc>
        <w:tc>
          <w:tcPr>
            <w:tcW w:w="0" w:type="auto"/>
            <w:hideMark/>
          </w:tcPr>
          <w:p w14:paraId="4C933770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Recuperación para el IPP</w:t>
            </w:r>
          </w:p>
        </w:tc>
      </w:tr>
      <w:tr w:rsidR="00D06C30" w:rsidRPr="00D06C30" w14:paraId="1D5DD1CD" w14:textId="77777777" w:rsidTr="00D06C30">
        <w:tc>
          <w:tcPr>
            <w:tcW w:w="0" w:type="auto"/>
            <w:hideMark/>
          </w:tcPr>
          <w:p w14:paraId="349AA4C6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garantizar calidad mínima para proteger al estudiante y al país</w:t>
            </w:r>
          </w:p>
        </w:tc>
        <w:tc>
          <w:tcPr>
            <w:tcW w:w="0" w:type="auto"/>
            <w:hideMark/>
          </w:tcPr>
          <w:p w14:paraId="2BB0168C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asegura calidad </w:t>
            </w:r>
            <w:r w:rsidRPr="00D06C30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del egresado y del ingeniero en ejercicio</w:t>
            </w: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, no solo del pregrado.</w:t>
            </w:r>
          </w:p>
        </w:tc>
      </w:tr>
      <w:tr w:rsidR="00D06C30" w:rsidRPr="00D06C30" w14:paraId="1B936EAA" w14:textId="77777777" w:rsidTr="00D06C30">
        <w:tc>
          <w:tcPr>
            <w:tcW w:w="0" w:type="auto"/>
            <w:hideMark/>
          </w:tcPr>
          <w:p w14:paraId="33467041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Política de supervisión </w:t>
            </w:r>
            <w:proofErr w:type="gramStart"/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continua</w:t>
            </w:r>
            <w:proofErr w:type="gramEnd"/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basada en riesgo</w:t>
            </w:r>
          </w:p>
        </w:tc>
        <w:tc>
          <w:tcPr>
            <w:tcW w:w="0" w:type="auto"/>
            <w:hideMark/>
          </w:tcPr>
          <w:p w14:paraId="304D2BB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implementa monitoreo de brechas profesionales por sector y región (</w:t>
            </w:r>
            <w:proofErr w:type="spellStart"/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. 4).</w:t>
            </w:r>
          </w:p>
        </w:tc>
      </w:tr>
      <w:tr w:rsidR="00D06C30" w:rsidRPr="00D06C30" w14:paraId="1B3409E1" w14:textId="77777777" w:rsidTr="00D06C30">
        <w:tc>
          <w:tcPr>
            <w:tcW w:w="0" w:type="auto"/>
            <w:hideMark/>
          </w:tcPr>
          <w:p w14:paraId="02093F69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cierre de brechas estructurales</w:t>
            </w:r>
          </w:p>
        </w:tc>
        <w:tc>
          <w:tcPr>
            <w:tcW w:w="0" w:type="auto"/>
            <w:hideMark/>
          </w:tcPr>
          <w:p w14:paraId="37D255D8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IPP: cierre de brechas </w:t>
            </w: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 competencias transversales</w:t>
            </w: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en ingenieros en ejercicio (Objetivo 1).</w:t>
            </w:r>
          </w:p>
        </w:tc>
      </w:tr>
      <w:tr w:rsidR="00D06C30" w:rsidRPr="00D06C30" w14:paraId="391CE4CF" w14:textId="77777777" w:rsidTr="00D06C30">
        <w:tc>
          <w:tcPr>
            <w:tcW w:w="0" w:type="auto"/>
            <w:hideMark/>
          </w:tcPr>
          <w:p w14:paraId="366BAF04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responsabilidad social del sistema universitario</w:t>
            </w:r>
          </w:p>
        </w:tc>
        <w:tc>
          <w:tcPr>
            <w:tcW w:w="0" w:type="auto"/>
            <w:hideMark/>
          </w:tcPr>
          <w:p w14:paraId="5C2601B8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IPP: responsabilidad pública del ingeniero (Objetivo 6).</w:t>
            </w:r>
          </w:p>
        </w:tc>
      </w:tr>
      <w:tr w:rsidR="00D06C30" w:rsidRPr="00D06C30" w14:paraId="0A744D6C" w14:textId="77777777" w:rsidTr="00D06C30">
        <w:tc>
          <w:tcPr>
            <w:tcW w:w="0" w:type="auto"/>
            <w:hideMark/>
          </w:tcPr>
          <w:p w14:paraId="2482A16F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articulación del sistema</w:t>
            </w:r>
          </w:p>
        </w:tc>
        <w:tc>
          <w:tcPr>
            <w:tcW w:w="0" w:type="auto"/>
            <w:hideMark/>
          </w:tcPr>
          <w:p w14:paraId="4277D6B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busca ordenar y articular el ecosistema (Objetivo 2).</w:t>
            </w:r>
          </w:p>
        </w:tc>
      </w:tr>
    </w:tbl>
    <w:p w14:paraId="2ACAEB26" w14:textId="77777777" w:rsidR="00D06C30" w:rsidRPr="00D06C30" w:rsidRDefault="00D06C30" w:rsidP="00D06C3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pict w14:anchorId="6D02FE84">
          <v:rect id="_x0000_i1028" style="width:0;height:1.5pt" o:hralign="center" o:hrstd="t" o:hr="t" fillcolor="#a0a0a0" stroked="f"/>
        </w:pict>
      </w:r>
    </w:p>
    <w:p w14:paraId="45ABCC26" w14:textId="27900288" w:rsidR="00D06C30" w:rsidRPr="00D06C30" w:rsidRDefault="00D06C30" w:rsidP="00D06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4. BUENAS PRÁCTICAS DEL MODELO SUNEDU ADOPTABLES POR EL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2"/>
        <w:gridCol w:w="4872"/>
      </w:tblGrid>
      <w:tr w:rsidR="00D06C30" w:rsidRPr="00D06C30" w14:paraId="6585364B" w14:textId="77777777" w:rsidTr="00D06C30">
        <w:tc>
          <w:tcPr>
            <w:tcW w:w="0" w:type="auto"/>
            <w:hideMark/>
          </w:tcPr>
          <w:p w14:paraId="6AC3A23F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SUNEDU</w:t>
            </w:r>
          </w:p>
        </w:tc>
        <w:tc>
          <w:tcPr>
            <w:tcW w:w="0" w:type="auto"/>
            <w:hideMark/>
          </w:tcPr>
          <w:p w14:paraId="6E343FEC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Cómo la adopta el IPP</w:t>
            </w:r>
          </w:p>
        </w:tc>
      </w:tr>
      <w:tr w:rsidR="00D06C30" w:rsidRPr="00D06C30" w14:paraId="4C44ED63" w14:textId="77777777" w:rsidTr="00D06C30">
        <w:tc>
          <w:tcPr>
            <w:tcW w:w="0" w:type="auto"/>
            <w:hideMark/>
          </w:tcPr>
          <w:p w14:paraId="4280DB4C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Licenciamiento basado en evidencia verificable</w:t>
            </w:r>
          </w:p>
        </w:tc>
        <w:tc>
          <w:tcPr>
            <w:tcW w:w="0" w:type="auto"/>
            <w:hideMark/>
          </w:tcPr>
          <w:p w14:paraId="6469DCB5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El IPP puede exigir evidencia para validar competencias del ingeniero en ejercicio.</w:t>
            </w:r>
          </w:p>
        </w:tc>
      </w:tr>
      <w:tr w:rsidR="00D06C30" w:rsidRPr="00D06C30" w14:paraId="5A2D0CA8" w14:textId="77777777" w:rsidTr="00D06C30">
        <w:tc>
          <w:tcPr>
            <w:tcW w:w="0" w:type="auto"/>
            <w:hideMark/>
          </w:tcPr>
          <w:p w14:paraId="0B53BC7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Modelo basado en condiciones básicas pero escalable a mejoras</w:t>
            </w:r>
          </w:p>
        </w:tc>
        <w:tc>
          <w:tcPr>
            <w:tcW w:w="0" w:type="auto"/>
            <w:hideMark/>
          </w:tcPr>
          <w:p w14:paraId="26710DD9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divide competencias en: básicas, intermedias, avanzadas y estratégicas.</w:t>
            </w:r>
          </w:p>
        </w:tc>
      </w:tr>
      <w:tr w:rsidR="00D06C30" w:rsidRPr="00D06C30" w14:paraId="017F0428" w14:textId="77777777" w:rsidTr="00D06C30">
        <w:tc>
          <w:tcPr>
            <w:tcW w:w="0" w:type="auto"/>
            <w:hideMark/>
          </w:tcPr>
          <w:p w14:paraId="0D4B662C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Mapeo de riesgos y seguimiento permanente</w:t>
            </w:r>
          </w:p>
        </w:tc>
        <w:tc>
          <w:tcPr>
            <w:tcW w:w="0" w:type="auto"/>
            <w:hideMark/>
          </w:tcPr>
          <w:p w14:paraId="209B50FF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implementa un mapa de brechas críticas por sector (minería, energía, saneamiento, infraestructura).</w:t>
            </w:r>
          </w:p>
        </w:tc>
      </w:tr>
      <w:tr w:rsidR="00D06C30" w:rsidRPr="00D06C30" w14:paraId="4CE7CCD6" w14:textId="77777777" w:rsidTr="00D06C30">
        <w:tc>
          <w:tcPr>
            <w:tcW w:w="0" w:type="auto"/>
            <w:hideMark/>
          </w:tcPr>
          <w:p w14:paraId="00CF2AE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Supervisión ordenada y con criterios claros</w:t>
            </w:r>
          </w:p>
        </w:tc>
        <w:tc>
          <w:tcPr>
            <w:tcW w:w="0" w:type="auto"/>
            <w:hideMark/>
          </w:tcPr>
          <w:p w14:paraId="26ACC3FF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define estándares profesionales claros (CONACI-Perú).</w:t>
            </w:r>
          </w:p>
        </w:tc>
      </w:tr>
      <w:tr w:rsidR="00D06C30" w:rsidRPr="00D06C30" w14:paraId="722E44AD" w14:textId="77777777" w:rsidTr="00D06C30">
        <w:tc>
          <w:tcPr>
            <w:tcW w:w="0" w:type="auto"/>
            <w:hideMark/>
          </w:tcPr>
          <w:p w14:paraId="73AA0BF6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Descentralización y supervisión territorial</w:t>
            </w:r>
          </w:p>
        </w:tc>
        <w:tc>
          <w:tcPr>
            <w:tcW w:w="0" w:type="auto"/>
            <w:hideMark/>
          </w:tcPr>
          <w:p w14:paraId="5D99D93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despliega observatorios regionales y nodos territoriales.</w:t>
            </w:r>
          </w:p>
        </w:tc>
      </w:tr>
      <w:tr w:rsidR="00D06C30" w:rsidRPr="00D06C30" w14:paraId="5A48A482" w14:textId="77777777" w:rsidTr="00D06C30">
        <w:tc>
          <w:tcPr>
            <w:tcW w:w="0" w:type="auto"/>
            <w:hideMark/>
          </w:tcPr>
          <w:p w14:paraId="740DA82A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Procesos con fiscalización cruzada</w:t>
            </w:r>
          </w:p>
        </w:tc>
        <w:tc>
          <w:tcPr>
            <w:tcW w:w="0" w:type="auto"/>
            <w:hideMark/>
          </w:tcPr>
          <w:p w14:paraId="4AF95542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El modelo IPP puede incorporar verificación por pares evaluadores independientes.</w:t>
            </w:r>
          </w:p>
        </w:tc>
      </w:tr>
    </w:tbl>
    <w:p w14:paraId="2FDBFFC5" w14:textId="77777777" w:rsidR="00D06C30" w:rsidRPr="00D06C30" w:rsidRDefault="00D06C30" w:rsidP="00D06C3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lastRenderedPageBreak/>
        <w:pict w14:anchorId="26EB04F1">
          <v:rect id="_x0000_i1029" style="width:0;height:1.5pt" o:hralign="center" o:hrstd="t" o:hr="t" fillcolor="#a0a0a0" stroked="f"/>
        </w:pict>
      </w:r>
    </w:p>
    <w:p w14:paraId="25EFFBAA" w14:textId="42F7F4C2" w:rsidR="00D06C30" w:rsidRPr="00D06C30" w:rsidRDefault="00D06C30" w:rsidP="00D06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5. SÍNTESIS EJECUTIVA (TABLA)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3167"/>
        <w:gridCol w:w="3666"/>
      </w:tblGrid>
      <w:tr w:rsidR="00D06C30" w:rsidRPr="00D06C30" w14:paraId="58818201" w14:textId="77777777" w:rsidTr="00D06C30">
        <w:tc>
          <w:tcPr>
            <w:tcW w:w="0" w:type="auto"/>
            <w:hideMark/>
          </w:tcPr>
          <w:p w14:paraId="5FE3FE5E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Eje</w:t>
            </w:r>
          </w:p>
        </w:tc>
        <w:tc>
          <w:tcPr>
            <w:tcW w:w="0" w:type="auto"/>
            <w:hideMark/>
          </w:tcPr>
          <w:p w14:paraId="48A25562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Aporte del Modelo SUNEDU</w:t>
            </w:r>
          </w:p>
        </w:tc>
        <w:tc>
          <w:tcPr>
            <w:tcW w:w="0" w:type="auto"/>
            <w:hideMark/>
          </w:tcPr>
          <w:p w14:paraId="16B27D66" w14:textId="77777777" w:rsidR="00D06C30" w:rsidRPr="00D06C30" w:rsidRDefault="00D06C30" w:rsidP="00D06C3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estratégica al IPP</w:t>
            </w:r>
          </w:p>
        </w:tc>
      </w:tr>
      <w:tr w:rsidR="00D06C30" w:rsidRPr="00D06C30" w14:paraId="7D947AE4" w14:textId="77777777" w:rsidTr="00D06C30">
        <w:tc>
          <w:tcPr>
            <w:tcW w:w="0" w:type="auto"/>
            <w:hideMark/>
          </w:tcPr>
          <w:p w14:paraId="7B6532EE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Conceptos</w:t>
            </w:r>
          </w:p>
        </w:tc>
        <w:tc>
          <w:tcPr>
            <w:tcW w:w="0" w:type="auto"/>
            <w:hideMark/>
          </w:tcPr>
          <w:p w14:paraId="745FDB1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Calidad mínima, coherencia, resultados, evidencia</w:t>
            </w:r>
          </w:p>
        </w:tc>
        <w:tc>
          <w:tcPr>
            <w:tcW w:w="0" w:type="auto"/>
            <w:hideMark/>
          </w:tcPr>
          <w:p w14:paraId="1C658463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asegura excelencia profesional y competencias del ingeniero en ejercicio</w:t>
            </w:r>
          </w:p>
        </w:tc>
      </w:tr>
      <w:tr w:rsidR="00D06C30" w:rsidRPr="00D06C30" w14:paraId="024A9469" w14:textId="77777777" w:rsidTr="00D06C30">
        <w:tc>
          <w:tcPr>
            <w:tcW w:w="0" w:type="auto"/>
            <w:hideMark/>
          </w:tcPr>
          <w:p w14:paraId="443B6E1F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Lineamientos</w:t>
            </w:r>
          </w:p>
        </w:tc>
        <w:tc>
          <w:tcPr>
            <w:tcW w:w="0" w:type="auto"/>
            <w:hideMark/>
          </w:tcPr>
          <w:p w14:paraId="36FC6751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Evidencia, riesgo, transparencia, coordinación</w:t>
            </w:r>
          </w:p>
        </w:tc>
        <w:tc>
          <w:tcPr>
            <w:tcW w:w="0" w:type="auto"/>
            <w:hideMark/>
          </w:tcPr>
          <w:p w14:paraId="0C144FEB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Observatorio + gobernanza articulada + rutas de competencias</w:t>
            </w:r>
          </w:p>
        </w:tc>
      </w:tr>
      <w:tr w:rsidR="00D06C30" w:rsidRPr="00D06C30" w14:paraId="44A9C5BB" w14:textId="77777777" w:rsidTr="00D06C30">
        <w:tc>
          <w:tcPr>
            <w:tcW w:w="0" w:type="auto"/>
            <w:hideMark/>
          </w:tcPr>
          <w:p w14:paraId="022C2FCE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Políticas</w:t>
            </w:r>
          </w:p>
        </w:tc>
        <w:tc>
          <w:tcPr>
            <w:tcW w:w="0" w:type="auto"/>
            <w:hideMark/>
          </w:tcPr>
          <w:p w14:paraId="74329307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Protección del interés público, continuidad, pertinencia</w:t>
            </w:r>
          </w:p>
        </w:tc>
        <w:tc>
          <w:tcPr>
            <w:tcW w:w="0" w:type="auto"/>
            <w:hideMark/>
          </w:tcPr>
          <w:p w14:paraId="533F764A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Marco Nacional de Competencias del Ingeniero (CONACI)</w:t>
            </w:r>
          </w:p>
        </w:tc>
      </w:tr>
      <w:tr w:rsidR="00D06C30" w:rsidRPr="00D06C30" w14:paraId="715D8E73" w14:textId="77777777" w:rsidTr="00D06C30">
        <w:tc>
          <w:tcPr>
            <w:tcW w:w="0" w:type="auto"/>
            <w:hideMark/>
          </w:tcPr>
          <w:p w14:paraId="40137066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Buenas prácticas</w:t>
            </w:r>
          </w:p>
        </w:tc>
        <w:tc>
          <w:tcPr>
            <w:tcW w:w="0" w:type="auto"/>
            <w:hideMark/>
          </w:tcPr>
          <w:p w14:paraId="44CBCE40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Supervisión basada en datos, estándares claros, mapeo de riesgo</w:t>
            </w:r>
          </w:p>
        </w:tc>
        <w:tc>
          <w:tcPr>
            <w:tcW w:w="0" w:type="auto"/>
            <w:hideMark/>
          </w:tcPr>
          <w:p w14:paraId="59B434E1" w14:textId="77777777" w:rsidR="00D06C30" w:rsidRPr="00D06C30" w:rsidRDefault="00D06C30" w:rsidP="00D06C30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06C30">
              <w:rPr>
                <w:rFonts w:eastAsia="Times New Roman" w:cstheme="minorHAnsi"/>
                <w:sz w:val="24"/>
                <w:szCs w:val="24"/>
                <w:lang w:eastAsia="es-PE"/>
              </w:rPr>
              <w:t>IPP establece certificación voluntaria, rutas de actualización y monitoreo nacional</w:t>
            </w:r>
          </w:p>
        </w:tc>
      </w:tr>
    </w:tbl>
    <w:p w14:paraId="2D2ED581" w14:textId="77777777" w:rsidR="00D06C30" w:rsidRPr="00D06C30" w:rsidRDefault="00D06C30" w:rsidP="00D06C3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pict w14:anchorId="2129561D">
          <v:rect id="_x0000_i1030" style="width:0;height:1.5pt" o:hralign="center" o:hrstd="t" o:hr="t" fillcolor="#a0a0a0" stroked="f"/>
        </w:pict>
      </w:r>
    </w:p>
    <w:p w14:paraId="78C175ED" w14:textId="25404136" w:rsidR="00D06C30" w:rsidRPr="00D06C30" w:rsidRDefault="00D06C30" w:rsidP="00D06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 xml:space="preserve">6. CONCLUSIÓN ESTRATÉGICA </w:t>
      </w:r>
    </w:p>
    <w:p w14:paraId="30D5EA8D" w14:textId="77777777" w:rsidR="00D06C30" w:rsidRPr="00D06C30" w:rsidRDefault="00D06C30" w:rsidP="00D06C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>El Modelo de Licenciamiento de SUNEDU asegura que las universidades operen con calidad mínima indispensable.</w:t>
      </w:r>
      <w:r w:rsidRPr="00D06C30">
        <w:rPr>
          <w:rFonts w:eastAsia="Times New Roman" w:cstheme="minorHAnsi"/>
          <w:sz w:val="24"/>
          <w:szCs w:val="24"/>
          <w:lang w:eastAsia="es-PE"/>
        </w:rPr>
        <w:br/>
        <w:t xml:space="preserve">Pero el documento revela con claridad que 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SUNEDU NO atiende el desempeño del ingeniero en ejercicio</w:t>
      </w:r>
      <w:r w:rsidRPr="00D06C30">
        <w:rPr>
          <w:rFonts w:eastAsia="Times New Roman" w:cstheme="minorHAnsi"/>
          <w:sz w:val="24"/>
          <w:szCs w:val="24"/>
          <w:lang w:eastAsia="es-PE"/>
        </w:rPr>
        <w:t>, ni la articulación del ecosistema, ni la actualización profesional continua.</w:t>
      </w:r>
    </w:p>
    <w:p w14:paraId="1993FAF7" w14:textId="77777777" w:rsidR="00D06C30" w:rsidRPr="00D06C30" w:rsidRDefault="00D06C30" w:rsidP="00D06C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>Ahí aparece el IPP.</w:t>
      </w:r>
    </w:p>
    <w:p w14:paraId="5D0FA41B" w14:textId="77777777" w:rsidR="00D06C30" w:rsidRPr="00D06C30" w:rsidRDefault="00D06C30" w:rsidP="00D06C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>El IPP complementa al Estado construyendo lo que falta:</w:t>
      </w:r>
    </w:p>
    <w:p w14:paraId="3C177980" w14:textId="77777777" w:rsidR="00D06C30" w:rsidRPr="00D06C30" w:rsidRDefault="00D06C30" w:rsidP="00D06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 xml:space="preserve">un 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sistema nacional de competencias profesionales</w:t>
      </w:r>
      <w:r w:rsidRPr="00D06C30">
        <w:rPr>
          <w:rFonts w:eastAsia="Times New Roman" w:cstheme="minorHAnsi"/>
          <w:sz w:val="24"/>
          <w:szCs w:val="24"/>
          <w:lang w:eastAsia="es-PE"/>
        </w:rPr>
        <w:t>,</w:t>
      </w:r>
    </w:p>
    <w:p w14:paraId="6B9CE73C" w14:textId="77777777" w:rsidR="00D06C30" w:rsidRPr="00D06C30" w:rsidRDefault="00D06C30" w:rsidP="00D06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 xml:space="preserve">un 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marco de articulación entre CIP–universidades–empresas–Estado</w:t>
      </w:r>
      <w:r w:rsidRPr="00D06C30">
        <w:rPr>
          <w:rFonts w:eastAsia="Times New Roman" w:cstheme="minorHAnsi"/>
          <w:sz w:val="24"/>
          <w:szCs w:val="24"/>
          <w:lang w:eastAsia="es-PE"/>
        </w:rPr>
        <w:t>,</w:t>
      </w:r>
    </w:p>
    <w:p w14:paraId="7D5FCA6D" w14:textId="77777777" w:rsidR="00D06C30" w:rsidRPr="00D06C30" w:rsidRDefault="00D06C30" w:rsidP="00D06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 xml:space="preserve">un 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observatorio de empleabilidad y brechas</w:t>
      </w:r>
      <w:r w:rsidRPr="00D06C30">
        <w:rPr>
          <w:rFonts w:eastAsia="Times New Roman" w:cstheme="minorHAnsi"/>
          <w:sz w:val="24"/>
          <w:szCs w:val="24"/>
          <w:lang w:eastAsia="es-PE"/>
        </w:rPr>
        <w:t>,</w:t>
      </w:r>
    </w:p>
    <w:p w14:paraId="5EE5AB83" w14:textId="77777777" w:rsidR="00D06C30" w:rsidRPr="00D06C30" w:rsidRDefault="00D06C30" w:rsidP="00D06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 xml:space="preserve">y un 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mecanismo para cerrar brechas transversales</w:t>
      </w:r>
      <w:r w:rsidRPr="00D06C30">
        <w:rPr>
          <w:rFonts w:eastAsia="Times New Roman" w:cstheme="minorHAnsi"/>
          <w:sz w:val="24"/>
          <w:szCs w:val="24"/>
          <w:lang w:eastAsia="es-PE"/>
        </w:rPr>
        <w:t xml:space="preserve"> que SUNEDU no aborda.</w:t>
      </w:r>
    </w:p>
    <w:p w14:paraId="2BF19A6E" w14:textId="77777777" w:rsidR="00D06C30" w:rsidRPr="00D06C30" w:rsidRDefault="00D06C30" w:rsidP="00D06C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sz w:val="24"/>
          <w:szCs w:val="24"/>
          <w:lang w:eastAsia="es-PE"/>
        </w:rPr>
        <w:t>En síntesis:</w:t>
      </w:r>
    </w:p>
    <w:p w14:paraId="6EBE3FA1" w14:textId="77777777" w:rsidR="00D06C30" w:rsidRPr="00D06C30" w:rsidRDefault="00D06C30" w:rsidP="00D06C30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t>SUNEDU garantiza las condiciones mínimas.</w:t>
      </w:r>
      <w:r w:rsidRPr="00D06C30">
        <w:rPr>
          <w:rFonts w:eastAsia="Times New Roman" w:cstheme="minorHAnsi"/>
          <w:b/>
          <w:bCs/>
          <w:sz w:val="24"/>
          <w:szCs w:val="24"/>
          <w:lang w:eastAsia="es-PE"/>
        </w:rPr>
        <w:br/>
        <w:t>El IPP construye la excelencia, la articulación nacional y el impacto país.</w:t>
      </w:r>
    </w:p>
    <w:p w14:paraId="4BD3AD74" w14:textId="77777777" w:rsidR="004B25EC" w:rsidRPr="00D06C30" w:rsidRDefault="004B25EC">
      <w:pPr>
        <w:rPr>
          <w:rFonts w:cstheme="minorHAnsi"/>
          <w:sz w:val="24"/>
          <w:szCs w:val="24"/>
        </w:rPr>
      </w:pPr>
    </w:p>
    <w:sectPr w:rsidR="004B25EC" w:rsidRPr="00D06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B2F40"/>
    <w:multiLevelType w:val="multilevel"/>
    <w:tmpl w:val="BF4A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B1D68"/>
    <w:multiLevelType w:val="multilevel"/>
    <w:tmpl w:val="A53C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0"/>
    <w:rsid w:val="004B25EC"/>
    <w:rsid w:val="00D0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B25EC"/>
  <w15:chartTrackingRefBased/>
  <w15:docId w15:val="{E252B779-3108-4ADE-A6AF-9F7BAA6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6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3">
    <w:name w:val="heading 3"/>
    <w:basedOn w:val="Normal"/>
    <w:link w:val="Ttulo3Car"/>
    <w:uiPriority w:val="9"/>
    <w:qFormat/>
    <w:rsid w:val="00D06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C3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D06C3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D0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06C30"/>
    <w:rPr>
      <w:b/>
      <w:bCs/>
    </w:rPr>
  </w:style>
  <w:style w:type="character" w:styleId="nfasis">
    <w:name w:val="Emphasis"/>
    <w:basedOn w:val="Fuentedeprrafopredeter"/>
    <w:uiPriority w:val="20"/>
    <w:qFormat/>
    <w:rsid w:val="00D06C30"/>
    <w:rPr>
      <w:i/>
      <w:iCs/>
    </w:rPr>
  </w:style>
  <w:style w:type="table" w:styleId="Tablaconcuadrcula">
    <w:name w:val="Table Grid"/>
    <w:basedOn w:val="Tablanormal"/>
    <w:uiPriority w:val="39"/>
    <w:rsid w:val="00D0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06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2025-11-12T22:04:00Z</dcterms:created>
  <dcterms:modified xsi:type="dcterms:W3CDTF">2025-11-12T22:13:00Z</dcterms:modified>
</cp:coreProperties>
</file>