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5A68" w14:textId="75B47E6C" w:rsidR="000630B5" w:rsidRPr="0059106D" w:rsidRDefault="000630B5" w:rsidP="000630B5">
      <w:pPr>
        <w:spacing w:before="100" w:beforeAutospacing="1" w:after="100" w:afterAutospacing="1" w:line="240" w:lineRule="auto"/>
        <w:jc w:val="center"/>
        <w:rPr>
          <w:rFonts w:eastAsia="Times New Roman" w:cstheme="minorHAnsi"/>
          <w:sz w:val="24"/>
          <w:szCs w:val="24"/>
          <w:lang w:eastAsia="es-PE"/>
        </w:rPr>
      </w:pPr>
      <w:r w:rsidRPr="000630B5">
        <w:rPr>
          <w:rFonts w:eastAsia="Times New Roman" w:cstheme="minorHAnsi"/>
          <w:b/>
          <w:bCs/>
          <w:sz w:val="24"/>
          <w:szCs w:val="24"/>
          <w:lang w:eastAsia="es-PE"/>
        </w:rPr>
        <w:t>ALINEAMIENTO DEL SINEACE “MODELO DE ACREDITACIÓN 2025” CON EL PROPOSITO Y OBJETIVOS IPP</w:t>
      </w:r>
    </w:p>
    <w:p w14:paraId="7DEFFA36" w14:textId="77777777" w:rsidR="000630B5" w:rsidRPr="000630B5" w:rsidRDefault="000630B5" w:rsidP="000630B5">
      <w:pPr>
        <w:spacing w:before="100" w:beforeAutospacing="1" w:after="100" w:afterAutospacing="1" w:line="240" w:lineRule="auto"/>
        <w:outlineLvl w:val="1"/>
        <w:rPr>
          <w:rFonts w:eastAsia="Times New Roman" w:cstheme="minorHAnsi"/>
          <w:b/>
          <w:bCs/>
          <w:sz w:val="24"/>
          <w:szCs w:val="24"/>
          <w:lang w:eastAsia="es-PE"/>
        </w:rPr>
      </w:pPr>
      <w:r w:rsidRPr="000630B5">
        <w:rPr>
          <w:rFonts w:eastAsia="Times New Roman" w:cstheme="minorHAnsi"/>
          <w:b/>
          <w:bCs/>
          <w:sz w:val="24"/>
          <w:szCs w:val="24"/>
          <w:lang w:eastAsia="es-PE"/>
        </w:rPr>
        <w:t>1) CONCEPTOS CLAVE DEL SINEACE ALINEADOS AL IPP</w:t>
      </w:r>
    </w:p>
    <w:tbl>
      <w:tblPr>
        <w:tblStyle w:val="Tablaconcuadrcula"/>
        <w:tblW w:w="0" w:type="auto"/>
        <w:tblLook w:val="04A0" w:firstRow="1" w:lastRow="0" w:firstColumn="1" w:lastColumn="0" w:noHBand="0" w:noVBand="1"/>
      </w:tblPr>
      <w:tblGrid>
        <w:gridCol w:w="1926"/>
        <w:gridCol w:w="2279"/>
        <w:gridCol w:w="2423"/>
        <w:gridCol w:w="1866"/>
      </w:tblGrid>
      <w:tr w:rsidR="000630B5" w:rsidRPr="000630B5" w14:paraId="6A741DB7" w14:textId="77777777" w:rsidTr="000630B5">
        <w:tc>
          <w:tcPr>
            <w:tcW w:w="0" w:type="auto"/>
            <w:hideMark/>
          </w:tcPr>
          <w:p w14:paraId="7A5EE3D2"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Concepto SINEACE</w:t>
            </w:r>
          </w:p>
        </w:tc>
        <w:tc>
          <w:tcPr>
            <w:tcW w:w="0" w:type="auto"/>
            <w:hideMark/>
          </w:tcPr>
          <w:p w14:paraId="2556F962"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Síntesis del concepto</w:t>
            </w:r>
          </w:p>
        </w:tc>
        <w:tc>
          <w:tcPr>
            <w:tcW w:w="0" w:type="auto"/>
            <w:hideMark/>
          </w:tcPr>
          <w:p w14:paraId="14A9F574"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Alineamiento con PROPÓSITO / OBJETIVOS IPP</w:t>
            </w:r>
          </w:p>
        </w:tc>
        <w:tc>
          <w:tcPr>
            <w:tcW w:w="0" w:type="auto"/>
            <w:hideMark/>
          </w:tcPr>
          <w:p w14:paraId="573A163E"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Cita</w:t>
            </w:r>
          </w:p>
        </w:tc>
      </w:tr>
      <w:tr w:rsidR="000630B5" w:rsidRPr="000630B5" w14:paraId="238DDCE8" w14:textId="77777777" w:rsidTr="000630B5">
        <w:tc>
          <w:tcPr>
            <w:tcW w:w="0" w:type="auto"/>
            <w:hideMark/>
          </w:tcPr>
          <w:p w14:paraId="03A4E37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Calidad educativa como desarrollo humano y ciudadanía</w:t>
            </w:r>
          </w:p>
        </w:tc>
        <w:tc>
          <w:tcPr>
            <w:tcW w:w="0" w:type="auto"/>
            <w:hideMark/>
          </w:tcPr>
          <w:p w14:paraId="67B78BAC"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La calidad es un “nivel óptimo de formación” que permite enfrentar retos de desarrollo humano, ejercer ciudadanía y seguir aprendiendo toda la vida; es continua y contextual.</w:t>
            </w:r>
          </w:p>
        </w:tc>
        <w:tc>
          <w:tcPr>
            <w:tcW w:w="0" w:type="auto"/>
            <w:hideMark/>
          </w:tcPr>
          <w:p w14:paraId="077622D9"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Refuerza el </w:t>
            </w:r>
            <w:r w:rsidRPr="000630B5">
              <w:rPr>
                <w:rFonts w:eastAsia="Times New Roman" w:cstheme="minorHAnsi"/>
                <w:b/>
                <w:bCs/>
                <w:sz w:val="24"/>
                <w:szCs w:val="24"/>
                <w:lang w:eastAsia="es-PE"/>
              </w:rPr>
              <w:t>Propósito del IPP</w:t>
            </w:r>
            <w:r w:rsidRPr="000630B5">
              <w:rPr>
                <w:rFonts w:eastAsia="Times New Roman" w:cstheme="minorHAnsi"/>
                <w:sz w:val="24"/>
                <w:szCs w:val="24"/>
                <w:lang w:eastAsia="es-PE"/>
              </w:rPr>
              <w:t xml:space="preserve"> (ingeniería como motor de desarrollo sostenible) y el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1 y 5</w:t>
            </w:r>
            <w:r w:rsidRPr="000630B5">
              <w:rPr>
                <w:rFonts w:eastAsia="Times New Roman" w:cstheme="minorHAnsi"/>
                <w:sz w:val="24"/>
                <w:szCs w:val="24"/>
                <w:lang w:eastAsia="es-PE"/>
              </w:rPr>
              <w:t xml:space="preserve"> (competencias transversales + aprendizaje continuo del ingeniero en ejercicio).</w:t>
            </w:r>
          </w:p>
        </w:tc>
        <w:tc>
          <w:tcPr>
            <w:tcW w:w="0" w:type="auto"/>
            <w:hideMark/>
          </w:tcPr>
          <w:p w14:paraId="5A239EBF"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SINEACE: calidad como educación integral y permanente.</w:t>
            </w:r>
          </w:p>
        </w:tc>
      </w:tr>
      <w:tr w:rsidR="000630B5" w:rsidRPr="000630B5" w14:paraId="26AC1B9A" w14:textId="77777777" w:rsidTr="000630B5">
        <w:tc>
          <w:tcPr>
            <w:tcW w:w="0" w:type="auto"/>
            <w:hideMark/>
          </w:tcPr>
          <w:p w14:paraId="146069C1"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Calidad en educación superior vinculada a cambio, innovación y mejora</w:t>
            </w:r>
          </w:p>
        </w:tc>
        <w:tc>
          <w:tcPr>
            <w:tcW w:w="0" w:type="auto"/>
            <w:hideMark/>
          </w:tcPr>
          <w:p w14:paraId="51C5D0CD"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La calidad universitaria se asocia a cambio, innovación y mejora para lograr los objetivos misionales de la universidad.</w:t>
            </w:r>
          </w:p>
        </w:tc>
        <w:tc>
          <w:tcPr>
            <w:tcW w:w="0" w:type="auto"/>
            <w:hideMark/>
          </w:tcPr>
          <w:p w14:paraId="2CE83173"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Alineado al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2 y 7 del IPP</w:t>
            </w:r>
            <w:r w:rsidRPr="000630B5">
              <w:rPr>
                <w:rFonts w:eastAsia="Times New Roman" w:cstheme="minorHAnsi"/>
                <w:sz w:val="24"/>
                <w:szCs w:val="24"/>
                <w:lang w:eastAsia="es-PE"/>
              </w:rPr>
              <w:t xml:space="preserve"> (articular el ecosistema y movilizar la ingeniería a resolver desafíos nacionales con innovación).</w:t>
            </w:r>
          </w:p>
        </w:tc>
        <w:tc>
          <w:tcPr>
            <w:tcW w:w="0" w:type="auto"/>
            <w:hideMark/>
          </w:tcPr>
          <w:p w14:paraId="62BDCE9C"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PNESTP: calidad = excelencia visible en eficiencia, eficacia y relevancia.</w:t>
            </w:r>
          </w:p>
        </w:tc>
      </w:tr>
      <w:tr w:rsidR="000630B5" w:rsidRPr="000630B5" w14:paraId="5DF0206F" w14:textId="77777777" w:rsidTr="000630B5">
        <w:tc>
          <w:tcPr>
            <w:tcW w:w="0" w:type="auto"/>
            <w:hideMark/>
          </w:tcPr>
          <w:p w14:paraId="33ABB01F"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Aseguramiento de la calidad como sistema de políticas, procesos e información</w:t>
            </w:r>
          </w:p>
        </w:tc>
        <w:tc>
          <w:tcPr>
            <w:tcW w:w="0" w:type="auto"/>
            <w:hideMark/>
          </w:tcPr>
          <w:p w14:paraId="5C90728C"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El aseguramiento es un conjunto de políticas, procedimientos, sistemas y prácticas internas/externas que regulan, evalúan y mejoran la calidad.</w:t>
            </w:r>
          </w:p>
        </w:tc>
        <w:tc>
          <w:tcPr>
            <w:tcW w:w="0" w:type="auto"/>
            <w:hideMark/>
          </w:tcPr>
          <w:p w14:paraId="2C87442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Da marco al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3 y 4 del IPP</w:t>
            </w:r>
            <w:r w:rsidRPr="000630B5">
              <w:rPr>
                <w:rFonts w:eastAsia="Times New Roman" w:cstheme="minorHAnsi"/>
                <w:sz w:val="24"/>
                <w:szCs w:val="24"/>
                <w:lang w:eastAsia="es-PE"/>
              </w:rPr>
              <w:t xml:space="preserve"> (CONACI-Perú y Observatorio de Empleabilidad e Inteligencia de Competencias) como parte del aseguramiento a nivel profesional, no solo universitario.</w:t>
            </w:r>
          </w:p>
        </w:tc>
        <w:tc>
          <w:tcPr>
            <w:tcW w:w="0" w:type="auto"/>
            <w:hideMark/>
          </w:tcPr>
          <w:p w14:paraId="5C4F0142"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Harvey (2004) citado por SINEACE sobre políticas y sistemas de QA.</w:t>
            </w:r>
          </w:p>
        </w:tc>
      </w:tr>
      <w:tr w:rsidR="000630B5" w:rsidRPr="000630B5" w14:paraId="2959DE7A" w14:textId="77777777" w:rsidTr="000630B5">
        <w:tc>
          <w:tcPr>
            <w:tcW w:w="0" w:type="auto"/>
            <w:hideMark/>
          </w:tcPr>
          <w:p w14:paraId="60192BE6"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Control, garantía y fomento de la calidad</w:t>
            </w:r>
          </w:p>
        </w:tc>
        <w:tc>
          <w:tcPr>
            <w:tcW w:w="0" w:type="auto"/>
            <w:hideMark/>
          </w:tcPr>
          <w:p w14:paraId="40B5EDC6"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La PNESTP distingue tres propósitos: control (mínimos), garantía (altos estándares) y fomento (mejora).</w:t>
            </w:r>
          </w:p>
        </w:tc>
        <w:tc>
          <w:tcPr>
            <w:tcW w:w="0" w:type="auto"/>
            <w:hideMark/>
          </w:tcPr>
          <w:p w14:paraId="1E6F88E4"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El IPP se ubica claramente en </w:t>
            </w:r>
            <w:r w:rsidRPr="000630B5">
              <w:rPr>
                <w:rFonts w:eastAsia="Times New Roman" w:cstheme="minorHAnsi"/>
                <w:b/>
                <w:bCs/>
                <w:sz w:val="24"/>
                <w:szCs w:val="24"/>
                <w:lang w:eastAsia="es-PE"/>
              </w:rPr>
              <w:t>garantía y fomento</w:t>
            </w:r>
            <w:r w:rsidRPr="000630B5">
              <w:rPr>
                <w:rFonts w:eastAsia="Times New Roman" w:cstheme="minorHAnsi"/>
                <w:sz w:val="24"/>
                <w:szCs w:val="24"/>
                <w:lang w:eastAsia="es-PE"/>
              </w:rPr>
              <w:t xml:space="preserve"> para el ingeniero en ejercicio (no en control): certificaciones voluntarias, desarrollo continuo, cultura de calidad en el ejercicio profesional.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1, 5 y 6</w:t>
            </w:r>
            <w:r w:rsidRPr="000630B5">
              <w:rPr>
                <w:rFonts w:eastAsia="Times New Roman" w:cstheme="minorHAnsi"/>
                <w:sz w:val="24"/>
                <w:szCs w:val="24"/>
                <w:lang w:eastAsia="es-PE"/>
              </w:rPr>
              <w:t>.</w:t>
            </w:r>
          </w:p>
        </w:tc>
        <w:tc>
          <w:tcPr>
            <w:tcW w:w="0" w:type="auto"/>
            <w:hideMark/>
          </w:tcPr>
          <w:p w14:paraId="37E36301"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PNESTP 2020: tres propósitos del aseguramiento.</w:t>
            </w:r>
          </w:p>
        </w:tc>
      </w:tr>
      <w:tr w:rsidR="000630B5" w:rsidRPr="000630B5" w14:paraId="0AFC2AEA" w14:textId="77777777" w:rsidTr="000630B5">
        <w:tc>
          <w:tcPr>
            <w:tcW w:w="0" w:type="auto"/>
            <w:hideMark/>
          </w:tcPr>
          <w:p w14:paraId="77B8C23D"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lastRenderedPageBreak/>
              <w:t>Acreditación como reconocimiento público y temporal basado en altos estándares</w:t>
            </w:r>
          </w:p>
        </w:tc>
        <w:tc>
          <w:tcPr>
            <w:tcW w:w="0" w:type="auto"/>
            <w:hideMark/>
          </w:tcPr>
          <w:p w14:paraId="060088C9"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Acreditación = reconocimiento público de programas que voluntariamente se someten a evaluación, con énfasis en resultados, mejora continua e impacto.</w:t>
            </w:r>
          </w:p>
        </w:tc>
        <w:tc>
          <w:tcPr>
            <w:tcW w:w="0" w:type="auto"/>
            <w:hideMark/>
          </w:tcPr>
          <w:p w14:paraId="5D8C4CC7"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Sirve de referente para que el IPP diseñe </w:t>
            </w:r>
            <w:r w:rsidRPr="000630B5">
              <w:rPr>
                <w:rFonts w:eastAsia="Times New Roman" w:cstheme="minorHAnsi"/>
                <w:b/>
                <w:bCs/>
                <w:sz w:val="24"/>
                <w:szCs w:val="24"/>
                <w:lang w:eastAsia="es-PE"/>
              </w:rPr>
              <w:t>mecanismos de reconocimiento y referencia de buenas competencias profesionales</w:t>
            </w:r>
            <w:r w:rsidRPr="000630B5">
              <w:rPr>
                <w:rFonts w:eastAsia="Times New Roman" w:cstheme="minorHAnsi"/>
                <w:sz w:val="24"/>
                <w:szCs w:val="24"/>
                <w:lang w:eastAsia="es-PE"/>
              </w:rPr>
              <w:t xml:space="preserve"> (sin ser autoridad reguladora). Alineado al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3 y 5</w:t>
            </w:r>
            <w:r w:rsidRPr="000630B5">
              <w:rPr>
                <w:rFonts w:eastAsia="Times New Roman" w:cstheme="minorHAnsi"/>
                <w:sz w:val="24"/>
                <w:szCs w:val="24"/>
                <w:lang w:eastAsia="es-PE"/>
              </w:rPr>
              <w:t>.</w:t>
            </w:r>
          </w:p>
        </w:tc>
        <w:tc>
          <w:tcPr>
            <w:tcW w:w="0" w:type="auto"/>
            <w:hideMark/>
          </w:tcPr>
          <w:p w14:paraId="6A6A4C40"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Ley 28740 y definición de acreditación.</w:t>
            </w:r>
          </w:p>
        </w:tc>
      </w:tr>
      <w:tr w:rsidR="000630B5" w:rsidRPr="000630B5" w14:paraId="6DEEFC22" w14:textId="77777777" w:rsidTr="000630B5">
        <w:tc>
          <w:tcPr>
            <w:tcW w:w="0" w:type="auto"/>
            <w:hideMark/>
          </w:tcPr>
          <w:p w14:paraId="0707098F"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Pertinencia social y territorial</w:t>
            </w:r>
          </w:p>
        </w:tc>
        <w:tc>
          <w:tcPr>
            <w:tcW w:w="0" w:type="auto"/>
            <w:hideMark/>
          </w:tcPr>
          <w:p w14:paraId="34066F6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La calidad se asocia a la relevancia social: capacidad de responder a demandas y expectativas sociales, y a requerimientos disciplinar-profesionales.</w:t>
            </w:r>
          </w:p>
        </w:tc>
        <w:tc>
          <w:tcPr>
            <w:tcW w:w="0" w:type="auto"/>
            <w:hideMark/>
          </w:tcPr>
          <w:p w14:paraId="75ED25BF"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Apoya el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7 del IPP</w:t>
            </w:r>
            <w:r w:rsidRPr="000630B5">
              <w:rPr>
                <w:rFonts w:eastAsia="Times New Roman" w:cstheme="minorHAnsi"/>
                <w:sz w:val="24"/>
                <w:szCs w:val="24"/>
                <w:lang w:eastAsia="es-PE"/>
              </w:rPr>
              <w:t xml:space="preserve"> (movilizar la ingeniería hacia problemas reales del país: productividad, agua, energía, infraestructura, descentralización).</w:t>
            </w:r>
          </w:p>
        </w:tc>
        <w:tc>
          <w:tcPr>
            <w:tcW w:w="0" w:type="auto"/>
            <w:hideMark/>
          </w:tcPr>
          <w:p w14:paraId="25CE1456"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Relevancia social como criterio clave de aseguramiento.</w:t>
            </w:r>
          </w:p>
        </w:tc>
      </w:tr>
      <w:tr w:rsidR="000630B5" w:rsidRPr="000630B5" w14:paraId="0F5421A0" w14:textId="77777777" w:rsidTr="000630B5">
        <w:tc>
          <w:tcPr>
            <w:tcW w:w="0" w:type="auto"/>
            <w:hideMark/>
          </w:tcPr>
          <w:p w14:paraId="044B9CD7"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Enfoque en el estudiante y en resultados de egreso</w:t>
            </w:r>
          </w:p>
        </w:tc>
        <w:tc>
          <w:tcPr>
            <w:tcW w:w="0" w:type="auto"/>
            <w:hideMark/>
          </w:tcPr>
          <w:p w14:paraId="63CC9A94"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Calidad medida por: logro del perfil de egreso, atención a necesidades de estudiantes y resultados de aprendizaje.</w:t>
            </w:r>
          </w:p>
        </w:tc>
        <w:tc>
          <w:tcPr>
            <w:tcW w:w="0" w:type="auto"/>
            <w:hideMark/>
          </w:tcPr>
          <w:p w14:paraId="3B52FBA1"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Para el IPP, esto se traduce en </w:t>
            </w:r>
            <w:r w:rsidRPr="000630B5">
              <w:rPr>
                <w:rFonts w:eastAsia="Times New Roman" w:cstheme="minorHAnsi"/>
                <w:b/>
                <w:bCs/>
                <w:sz w:val="24"/>
                <w:szCs w:val="24"/>
                <w:lang w:eastAsia="es-PE"/>
              </w:rPr>
              <w:t>enfoque en el ingeniero en ejercicio y sus resultados de desempeño profesional</w:t>
            </w:r>
            <w:r w:rsidRPr="000630B5">
              <w:rPr>
                <w:rFonts w:eastAsia="Times New Roman" w:cstheme="minorHAnsi"/>
                <w:sz w:val="24"/>
                <w:szCs w:val="24"/>
                <w:lang w:eastAsia="es-PE"/>
              </w:rPr>
              <w:t xml:space="preserve">, no solo en la oferta de cursos.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1 y 4</w:t>
            </w:r>
            <w:r w:rsidRPr="000630B5">
              <w:rPr>
                <w:rFonts w:eastAsia="Times New Roman" w:cstheme="minorHAnsi"/>
                <w:sz w:val="24"/>
                <w:szCs w:val="24"/>
                <w:lang w:eastAsia="es-PE"/>
              </w:rPr>
              <w:t>.</w:t>
            </w:r>
          </w:p>
        </w:tc>
        <w:tc>
          <w:tcPr>
            <w:tcW w:w="0" w:type="auto"/>
            <w:hideMark/>
          </w:tcPr>
          <w:p w14:paraId="798C1D7C"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Estándares ENQA sobre aprendizaje centrado en el estudiante y resultados.</w:t>
            </w:r>
          </w:p>
        </w:tc>
      </w:tr>
      <w:tr w:rsidR="000630B5" w:rsidRPr="000630B5" w14:paraId="5DECB90B" w14:textId="77777777" w:rsidTr="000630B5">
        <w:tc>
          <w:tcPr>
            <w:tcW w:w="0" w:type="auto"/>
            <w:hideMark/>
          </w:tcPr>
          <w:p w14:paraId="299AA91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Gestión del cambio y mejora continua</w:t>
            </w:r>
          </w:p>
        </w:tc>
        <w:tc>
          <w:tcPr>
            <w:tcW w:w="0" w:type="auto"/>
            <w:hideMark/>
          </w:tcPr>
          <w:p w14:paraId="2D562A35"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La calidad depende de la capacidad para gestionar el cambio y realizar mejoras de manera oportuna y continua.</w:t>
            </w:r>
          </w:p>
        </w:tc>
        <w:tc>
          <w:tcPr>
            <w:tcW w:w="0" w:type="auto"/>
            <w:hideMark/>
          </w:tcPr>
          <w:p w14:paraId="5D9DEBF9"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Base para el </w:t>
            </w:r>
            <w:r w:rsidRPr="000630B5">
              <w:rPr>
                <w:rFonts w:eastAsia="Times New Roman" w:cstheme="minorHAnsi"/>
                <w:b/>
                <w:bCs/>
                <w:sz w:val="24"/>
                <w:szCs w:val="24"/>
                <w:lang w:eastAsia="es-PE"/>
              </w:rPr>
              <w:t>sistema nacional de actualización continua del ingeniero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5)</w:t>
            </w:r>
            <w:r w:rsidRPr="000630B5">
              <w:rPr>
                <w:rFonts w:eastAsia="Times New Roman" w:cstheme="minorHAnsi"/>
                <w:sz w:val="24"/>
                <w:szCs w:val="24"/>
                <w:lang w:eastAsia="es-PE"/>
              </w:rPr>
              <w:t xml:space="preserve"> y para una ingeniería que se adapta al futuro del trabajo (Propósito del IPP).</w:t>
            </w:r>
          </w:p>
        </w:tc>
        <w:tc>
          <w:tcPr>
            <w:tcW w:w="0" w:type="auto"/>
            <w:hideMark/>
          </w:tcPr>
          <w:p w14:paraId="0E729C8E"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Aspectos relevantes de calidad: gestión del cambio y mejora continua.</w:t>
            </w:r>
          </w:p>
        </w:tc>
      </w:tr>
    </w:tbl>
    <w:p w14:paraId="5D83C372" w14:textId="77777777" w:rsidR="000630B5" w:rsidRPr="000630B5" w:rsidRDefault="000630B5" w:rsidP="000630B5">
      <w:pPr>
        <w:spacing w:after="0" w:line="240" w:lineRule="auto"/>
        <w:rPr>
          <w:rFonts w:eastAsia="Times New Roman" w:cstheme="minorHAnsi"/>
          <w:sz w:val="24"/>
          <w:szCs w:val="24"/>
          <w:lang w:eastAsia="es-PE"/>
        </w:rPr>
      </w:pPr>
      <w:r w:rsidRPr="000630B5">
        <w:rPr>
          <w:rFonts w:eastAsia="Times New Roman" w:cstheme="minorHAnsi"/>
          <w:sz w:val="24"/>
          <w:szCs w:val="24"/>
          <w:lang w:eastAsia="es-PE"/>
        </w:rPr>
        <w:pict w14:anchorId="2638A6F0">
          <v:rect id="_x0000_i1026" style="width:0;height:1.5pt" o:hralign="center" o:hrstd="t" o:hr="t" fillcolor="#a0a0a0" stroked="f"/>
        </w:pict>
      </w:r>
    </w:p>
    <w:p w14:paraId="76C23194" w14:textId="77777777" w:rsidR="000630B5" w:rsidRPr="000630B5" w:rsidRDefault="000630B5" w:rsidP="000630B5">
      <w:pPr>
        <w:spacing w:before="100" w:beforeAutospacing="1" w:after="100" w:afterAutospacing="1" w:line="240" w:lineRule="auto"/>
        <w:outlineLvl w:val="1"/>
        <w:rPr>
          <w:rFonts w:eastAsia="Times New Roman" w:cstheme="minorHAnsi"/>
          <w:b/>
          <w:bCs/>
          <w:sz w:val="24"/>
          <w:szCs w:val="24"/>
          <w:lang w:eastAsia="es-PE"/>
        </w:rPr>
      </w:pPr>
    </w:p>
    <w:p w14:paraId="585E8FAB" w14:textId="77777777" w:rsidR="000630B5" w:rsidRPr="000630B5" w:rsidRDefault="000630B5" w:rsidP="000630B5">
      <w:pPr>
        <w:spacing w:before="100" w:beforeAutospacing="1" w:after="100" w:afterAutospacing="1" w:line="240" w:lineRule="auto"/>
        <w:outlineLvl w:val="1"/>
        <w:rPr>
          <w:rFonts w:eastAsia="Times New Roman" w:cstheme="minorHAnsi"/>
          <w:b/>
          <w:bCs/>
          <w:sz w:val="24"/>
          <w:szCs w:val="24"/>
          <w:lang w:eastAsia="es-PE"/>
        </w:rPr>
      </w:pPr>
    </w:p>
    <w:p w14:paraId="132EF14E" w14:textId="77777777" w:rsidR="000630B5" w:rsidRPr="000630B5" w:rsidRDefault="000630B5" w:rsidP="000630B5">
      <w:pPr>
        <w:spacing w:before="100" w:beforeAutospacing="1" w:after="100" w:afterAutospacing="1" w:line="240" w:lineRule="auto"/>
        <w:outlineLvl w:val="1"/>
        <w:rPr>
          <w:rFonts w:eastAsia="Times New Roman" w:cstheme="minorHAnsi"/>
          <w:b/>
          <w:bCs/>
          <w:sz w:val="24"/>
          <w:szCs w:val="24"/>
          <w:lang w:eastAsia="es-PE"/>
        </w:rPr>
      </w:pPr>
    </w:p>
    <w:p w14:paraId="1C05E4C2" w14:textId="77777777" w:rsidR="000630B5" w:rsidRPr="000630B5" w:rsidRDefault="000630B5" w:rsidP="000630B5">
      <w:pPr>
        <w:spacing w:before="100" w:beforeAutospacing="1" w:after="100" w:afterAutospacing="1" w:line="240" w:lineRule="auto"/>
        <w:outlineLvl w:val="1"/>
        <w:rPr>
          <w:rFonts w:eastAsia="Times New Roman" w:cstheme="minorHAnsi"/>
          <w:b/>
          <w:bCs/>
          <w:sz w:val="24"/>
          <w:szCs w:val="24"/>
          <w:lang w:eastAsia="es-PE"/>
        </w:rPr>
      </w:pPr>
    </w:p>
    <w:p w14:paraId="22EDCE33" w14:textId="0AEC0845" w:rsidR="000630B5" w:rsidRPr="000630B5" w:rsidRDefault="000630B5" w:rsidP="000630B5">
      <w:pPr>
        <w:spacing w:before="100" w:beforeAutospacing="1" w:after="100" w:afterAutospacing="1" w:line="240" w:lineRule="auto"/>
        <w:outlineLvl w:val="1"/>
        <w:rPr>
          <w:rFonts w:eastAsia="Times New Roman" w:cstheme="minorHAnsi"/>
          <w:b/>
          <w:bCs/>
          <w:sz w:val="24"/>
          <w:szCs w:val="24"/>
          <w:lang w:eastAsia="es-PE"/>
        </w:rPr>
      </w:pPr>
      <w:r w:rsidRPr="000630B5">
        <w:rPr>
          <w:rFonts w:eastAsia="Times New Roman" w:cstheme="minorHAnsi"/>
          <w:b/>
          <w:bCs/>
          <w:sz w:val="24"/>
          <w:szCs w:val="24"/>
          <w:lang w:eastAsia="es-PE"/>
        </w:rPr>
        <w:lastRenderedPageBreak/>
        <w:t>2) LINEAMIENTOS QUE SUGIERE EL MODELO SINEACE (ÚTILES PARA EL IPP)</w:t>
      </w:r>
    </w:p>
    <w:tbl>
      <w:tblPr>
        <w:tblStyle w:val="Tablaconcuadrcula"/>
        <w:tblW w:w="0" w:type="auto"/>
        <w:tblLook w:val="04A0" w:firstRow="1" w:lastRow="0" w:firstColumn="1" w:lastColumn="0" w:noHBand="0" w:noVBand="1"/>
      </w:tblPr>
      <w:tblGrid>
        <w:gridCol w:w="2010"/>
        <w:gridCol w:w="2137"/>
        <w:gridCol w:w="2355"/>
        <w:gridCol w:w="1992"/>
      </w:tblGrid>
      <w:tr w:rsidR="000630B5" w:rsidRPr="000630B5" w14:paraId="0C99EF44" w14:textId="77777777" w:rsidTr="000630B5">
        <w:tc>
          <w:tcPr>
            <w:tcW w:w="0" w:type="auto"/>
            <w:hideMark/>
          </w:tcPr>
          <w:p w14:paraId="180C2F94"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Lineamiento SINEACE (explícito o implícito)</w:t>
            </w:r>
          </w:p>
        </w:tc>
        <w:tc>
          <w:tcPr>
            <w:tcW w:w="0" w:type="auto"/>
            <w:hideMark/>
          </w:tcPr>
          <w:p w14:paraId="268A0B52"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Cómo se formula en el documento</w:t>
            </w:r>
          </w:p>
        </w:tc>
        <w:tc>
          <w:tcPr>
            <w:tcW w:w="0" w:type="auto"/>
            <w:hideMark/>
          </w:tcPr>
          <w:p w14:paraId="18E1185E"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Alineamiento directo con IPP</w:t>
            </w:r>
          </w:p>
        </w:tc>
        <w:tc>
          <w:tcPr>
            <w:tcW w:w="0" w:type="auto"/>
            <w:hideMark/>
          </w:tcPr>
          <w:p w14:paraId="0E707DE2"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Cita</w:t>
            </w:r>
          </w:p>
        </w:tc>
      </w:tr>
      <w:tr w:rsidR="000630B5" w:rsidRPr="000630B5" w14:paraId="4C342926" w14:textId="77777777" w:rsidTr="000630B5">
        <w:tc>
          <w:tcPr>
            <w:tcW w:w="0" w:type="auto"/>
            <w:hideMark/>
          </w:tcPr>
          <w:p w14:paraId="087CC4F8"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Transparencia y acceso público a la información</w:t>
            </w:r>
          </w:p>
        </w:tc>
        <w:tc>
          <w:tcPr>
            <w:tcW w:w="0" w:type="auto"/>
            <w:hideMark/>
          </w:tcPr>
          <w:p w14:paraId="359D1996"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La transparencia es principio básico; resultados deben ser claros, accesibles y difundidos a la comunidad.</w:t>
            </w:r>
          </w:p>
        </w:tc>
        <w:tc>
          <w:tcPr>
            <w:tcW w:w="0" w:type="auto"/>
            <w:hideMark/>
          </w:tcPr>
          <w:p w14:paraId="66EB71DF"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Directamente alineado con el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4 IPP</w:t>
            </w:r>
            <w:r w:rsidRPr="000630B5">
              <w:rPr>
                <w:rFonts w:eastAsia="Times New Roman" w:cstheme="minorHAnsi"/>
                <w:sz w:val="24"/>
                <w:szCs w:val="24"/>
                <w:lang w:eastAsia="es-PE"/>
              </w:rPr>
              <w:t xml:space="preserve"> (Observatorio de Empleabilidad e Inteligencia de Competencias) y con la idea de que los datos del ingeniero sean públicos y confiables.</w:t>
            </w:r>
          </w:p>
        </w:tc>
        <w:tc>
          <w:tcPr>
            <w:tcW w:w="0" w:type="auto"/>
            <w:hideMark/>
          </w:tcPr>
          <w:p w14:paraId="717C64CE"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Principio de transparencia en evaluación y acreditación.</w:t>
            </w:r>
          </w:p>
        </w:tc>
      </w:tr>
      <w:tr w:rsidR="000630B5" w:rsidRPr="000630B5" w14:paraId="2BDCE4FC" w14:textId="77777777" w:rsidTr="000630B5">
        <w:tc>
          <w:tcPr>
            <w:tcW w:w="0" w:type="auto"/>
            <w:hideMark/>
          </w:tcPr>
          <w:p w14:paraId="081B6974"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Responsabilidad de las instituciones sobre su propia calidad</w:t>
            </w:r>
          </w:p>
        </w:tc>
        <w:tc>
          <w:tcPr>
            <w:tcW w:w="0" w:type="auto"/>
            <w:hideMark/>
          </w:tcPr>
          <w:p w14:paraId="1EA94808"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Se enfatiza que las instituciones asumen responsabilidad por los resultados y la calidad de sus procesos.</w:t>
            </w:r>
          </w:p>
        </w:tc>
        <w:tc>
          <w:tcPr>
            <w:tcW w:w="0" w:type="auto"/>
            <w:hideMark/>
          </w:tcPr>
          <w:p w14:paraId="5F3D19E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Para el IPP, eso implica que </w:t>
            </w:r>
            <w:r w:rsidRPr="000630B5">
              <w:rPr>
                <w:rFonts w:eastAsia="Times New Roman" w:cstheme="minorHAnsi"/>
                <w:b/>
                <w:bCs/>
                <w:sz w:val="24"/>
                <w:szCs w:val="24"/>
                <w:lang w:eastAsia="es-PE"/>
              </w:rPr>
              <w:t>colegio, universidades, empresas y asociaciones</w:t>
            </w:r>
            <w:r w:rsidRPr="000630B5">
              <w:rPr>
                <w:rFonts w:eastAsia="Times New Roman" w:cstheme="minorHAnsi"/>
                <w:sz w:val="24"/>
                <w:szCs w:val="24"/>
                <w:lang w:eastAsia="es-PE"/>
              </w:rPr>
              <w:t xml:space="preserve"> deben asumir responsabilidad conjunta por la calidad del ingeniero en ejercicio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2 y 6</w:t>
            </w:r>
            <w:r w:rsidRPr="000630B5">
              <w:rPr>
                <w:rFonts w:eastAsia="Times New Roman" w:cstheme="minorHAnsi"/>
                <w:sz w:val="24"/>
                <w:szCs w:val="24"/>
                <w:lang w:eastAsia="es-PE"/>
              </w:rPr>
              <w:t>).</w:t>
            </w:r>
          </w:p>
        </w:tc>
        <w:tc>
          <w:tcPr>
            <w:tcW w:w="0" w:type="auto"/>
            <w:hideMark/>
          </w:tcPr>
          <w:p w14:paraId="4618435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Principios de responsabilidad y autonomía responsable.</w:t>
            </w:r>
          </w:p>
        </w:tc>
      </w:tr>
      <w:tr w:rsidR="000630B5" w:rsidRPr="000630B5" w14:paraId="0BD09F9B" w14:textId="77777777" w:rsidTr="000630B5">
        <w:tc>
          <w:tcPr>
            <w:tcW w:w="0" w:type="auto"/>
            <w:hideMark/>
          </w:tcPr>
          <w:p w14:paraId="544952BD"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Participación y cultura de autoevaluación</w:t>
            </w:r>
          </w:p>
        </w:tc>
        <w:tc>
          <w:tcPr>
            <w:tcW w:w="0" w:type="auto"/>
            <w:hideMark/>
          </w:tcPr>
          <w:p w14:paraId="1BF80989"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La participación y la generación de una cultura de calidad, autorregulación y mejora continua son lineamientos explícitos.</w:t>
            </w:r>
          </w:p>
        </w:tc>
        <w:tc>
          <w:tcPr>
            <w:tcW w:w="0" w:type="auto"/>
            <w:hideMark/>
          </w:tcPr>
          <w:p w14:paraId="15927D53"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El IPP puede replicar este enfoque en el ecosistema profesional: </w:t>
            </w:r>
            <w:r w:rsidRPr="000630B5">
              <w:rPr>
                <w:rFonts w:eastAsia="Times New Roman" w:cstheme="minorHAnsi"/>
                <w:b/>
                <w:bCs/>
                <w:sz w:val="24"/>
                <w:szCs w:val="24"/>
                <w:lang w:eastAsia="es-PE"/>
              </w:rPr>
              <w:t>ingenieros, empresas y colegios participan activamente en definir y evaluar competencias</w:t>
            </w:r>
            <w:r w:rsidRPr="000630B5">
              <w:rPr>
                <w:rFonts w:eastAsia="Times New Roman" w:cstheme="minorHAnsi"/>
                <w:sz w:val="24"/>
                <w:szCs w:val="24"/>
                <w:lang w:eastAsia="es-PE"/>
              </w:rPr>
              <w:t xml:space="preserve"> (CONACI-Perú –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3</w:t>
            </w:r>
            <w:r w:rsidRPr="000630B5">
              <w:rPr>
                <w:rFonts w:eastAsia="Times New Roman" w:cstheme="minorHAnsi"/>
                <w:sz w:val="24"/>
                <w:szCs w:val="24"/>
                <w:lang w:eastAsia="es-PE"/>
              </w:rPr>
              <w:t>).</w:t>
            </w:r>
          </w:p>
        </w:tc>
        <w:tc>
          <w:tcPr>
            <w:tcW w:w="0" w:type="auto"/>
            <w:hideMark/>
          </w:tcPr>
          <w:p w14:paraId="2FDEA79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Lineamientos: participación, autoevaluación y cultura de calidad.</w:t>
            </w:r>
          </w:p>
        </w:tc>
      </w:tr>
      <w:tr w:rsidR="000630B5" w:rsidRPr="000630B5" w14:paraId="1BA4CB93" w14:textId="77777777" w:rsidTr="000630B5">
        <w:tc>
          <w:tcPr>
            <w:tcW w:w="0" w:type="auto"/>
            <w:hideMark/>
          </w:tcPr>
          <w:p w14:paraId="5D87BCEC"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Pertinencia local, regional y nacional</w:t>
            </w:r>
          </w:p>
        </w:tc>
        <w:tc>
          <w:tcPr>
            <w:tcW w:w="0" w:type="auto"/>
            <w:hideMark/>
          </w:tcPr>
          <w:p w14:paraId="3B678BBE"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Se exige pertinencia del servicio educativo con contexto local, regional y necesidades nacionales.</w:t>
            </w:r>
          </w:p>
        </w:tc>
        <w:tc>
          <w:tcPr>
            <w:tcW w:w="0" w:type="auto"/>
            <w:hideMark/>
          </w:tcPr>
          <w:p w14:paraId="0E68C1F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El IPP puede traducir esto en </w:t>
            </w:r>
            <w:r w:rsidRPr="000630B5">
              <w:rPr>
                <w:rFonts w:eastAsia="Times New Roman" w:cstheme="minorHAnsi"/>
                <w:b/>
                <w:bCs/>
                <w:sz w:val="24"/>
                <w:szCs w:val="24"/>
                <w:lang w:eastAsia="es-PE"/>
              </w:rPr>
              <w:t>pertinencia sectorial y territorial del ingeniero</w:t>
            </w:r>
            <w:r w:rsidRPr="000630B5">
              <w:rPr>
                <w:rFonts w:eastAsia="Times New Roman" w:cstheme="minorHAnsi"/>
                <w:sz w:val="24"/>
                <w:szCs w:val="24"/>
                <w:lang w:eastAsia="es-PE"/>
              </w:rPr>
              <w:t xml:space="preserve"> (minería, energía, agua, industria, regiones), asociado al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7</w:t>
            </w:r>
            <w:r w:rsidRPr="000630B5">
              <w:rPr>
                <w:rFonts w:eastAsia="Times New Roman" w:cstheme="minorHAnsi"/>
                <w:sz w:val="24"/>
                <w:szCs w:val="24"/>
                <w:lang w:eastAsia="es-PE"/>
              </w:rPr>
              <w:t>.</w:t>
            </w:r>
          </w:p>
        </w:tc>
        <w:tc>
          <w:tcPr>
            <w:tcW w:w="0" w:type="auto"/>
            <w:hideMark/>
          </w:tcPr>
          <w:p w14:paraId="63E6785F"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Lineamiento de pertinencia contextual.</w:t>
            </w:r>
          </w:p>
        </w:tc>
      </w:tr>
      <w:tr w:rsidR="000630B5" w:rsidRPr="000630B5" w14:paraId="0BD723A8" w14:textId="77777777" w:rsidTr="000630B5">
        <w:tc>
          <w:tcPr>
            <w:tcW w:w="0" w:type="auto"/>
            <w:hideMark/>
          </w:tcPr>
          <w:p w14:paraId="1C2291EF"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lastRenderedPageBreak/>
              <w:t>Evaluación holística (insumos, procesos, resultados, impacto)</w:t>
            </w:r>
          </w:p>
        </w:tc>
        <w:tc>
          <w:tcPr>
            <w:tcW w:w="0" w:type="auto"/>
            <w:hideMark/>
          </w:tcPr>
          <w:p w14:paraId="754534E5"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Se indica que la evaluación debe ser holística: entradas, procesos, contextos, resultados e impacto social/personal.</w:t>
            </w:r>
          </w:p>
        </w:tc>
        <w:tc>
          <w:tcPr>
            <w:tcW w:w="0" w:type="auto"/>
            <w:hideMark/>
          </w:tcPr>
          <w:p w14:paraId="7B0B226F"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IPP puede usar este enfoque holístico para evaluar </w:t>
            </w:r>
            <w:r w:rsidRPr="000630B5">
              <w:rPr>
                <w:rFonts w:eastAsia="Times New Roman" w:cstheme="minorHAnsi"/>
                <w:b/>
                <w:bCs/>
                <w:sz w:val="24"/>
                <w:szCs w:val="24"/>
                <w:lang w:eastAsia="es-PE"/>
              </w:rPr>
              <w:t>competencias del ingeniero</w:t>
            </w:r>
            <w:r w:rsidRPr="000630B5">
              <w:rPr>
                <w:rFonts w:eastAsia="Times New Roman" w:cstheme="minorHAnsi"/>
                <w:sz w:val="24"/>
                <w:szCs w:val="24"/>
                <w:lang w:eastAsia="es-PE"/>
              </w:rPr>
              <w:t xml:space="preserve"> (no solo cursos realizados, sino impacto en proyectos, ética, innovación, contribución al país).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1, 6 y 7</w:t>
            </w:r>
            <w:r w:rsidRPr="000630B5">
              <w:rPr>
                <w:rFonts w:eastAsia="Times New Roman" w:cstheme="minorHAnsi"/>
                <w:sz w:val="24"/>
                <w:szCs w:val="24"/>
                <w:lang w:eastAsia="es-PE"/>
              </w:rPr>
              <w:t>.</w:t>
            </w:r>
          </w:p>
        </w:tc>
        <w:tc>
          <w:tcPr>
            <w:tcW w:w="0" w:type="auto"/>
            <w:hideMark/>
          </w:tcPr>
          <w:p w14:paraId="7534F63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Carácter holístico de la evaluación y acreditación.</w:t>
            </w:r>
          </w:p>
        </w:tc>
      </w:tr>
      <w:tr w:rsidR="000630B5" w:rsidRPr="000630B5" w14:paraId="5D886EBB" w14:textId="77777777" w:rsidTr="000630B5">
        <w:tc>
          <w:tcPr>
            <w:tcW w:w="0" w:type="auto"/>
            <w:hideMark/>
          </w:tcPr>
          <w:p w14:paraId="577F9F00"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Respeto a la autonomía con estándares comunes</w:t>
            </w:r>
          </w:p>
        </w:tc>
        <w:tc>
          <w:tcPr>
            <w:tcW w:w="0" w:type="auto"/>
            <w:hideMark/>
          </w:tcPr>
          <w:p w14:paraId="56039AF7"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Se respeta la autonomía universitaria, pero dentro de marcos de estándares, criterios e indicadores.</w:t>
            </w:r>
          </w:p>
        </w:tc>
        <w:tc>
          <w:tcPr>
            <w:tcW w:w="0" w:type="auto"/>
            <w:hideMark/>
          </w:tcPr>
          <w:p w14:paraId="635CD902"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Es análogo al rol del </w:t>
            </w:r>
            <w:r w:rsidRPr="000630B5">
              <w:rPr>
                <w:rFonts w:eastAsia="Times New Roman" w:cstheme="minorHAnsi"/>
                <w:b/>
                <w:bCs/>
                <w:sz w:val="24"/>
                <w:szCs w:val="24"/>
                <w:lang w:eastAsia="es-PE"/>
              </w:rPr>
              <w:t>CONACI-Perú</w:t>
            </w:r>
            <w:r w:rsidRPr="000630B5">
              <w:rPr>
                <w:rFonts w:eastAsia="Times New Roman" w:cstheme="minorHAnsi"/>
                <w:sz w:val="24"/>
                <w:szCs w:val="24"/>
                <w:lang w:eastAsia="es-PE"/>
              </w:rPr>
              <w:t xml:space="preserve">: sugiere competencias y estándares para la formación y el ejercicio, </w:t>
            </w:r>
            <w:r w:rsidRPr="000630B5">
              <w:rPr>
                <w:rFonts w:eastAsia="Times New Roman" w:cstheme="minorHAnsi"/>
                <w:b/>
                <w:bCs/>
                <w:sz w:val="24"/>
                <w:szCs w:val="24"/>
                <w:lang w:eastAsia="es-PE"/>
              </w:rPr>
              <w:t>sin invadir la autonomía universitaria ni regulatoria</w:t>
            </w:r>
            <w:r w:rsidRPr="000630B5">
              <w:rPr>
                <w:rFonts w:eastAsia="Times New Roman" w:cstheme="minorHAnsi"/>
                <w:sz w:val="24"/>
                <w:szCs w:val="24"/>
                <w:lang w:eastAsia="es-PE"/>
              </w:rPr>
              <w:t xml:space="preserve">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3</w:t>
            </w:r>
            <w:r w:rsidRPr="000630B5">
              <w:rPr>
                <w:rFonts w:eastAsia="Times New Roman" w:cstheme="minorHAnsi"/>
                <w:sz w:val="24"/>
                <w:szCs w:val="24"/>
                <w:lang w:eastAsia="es-PE"/>
              </w:rPr>
              <w:t>).</w:t>
            </w:r>
          </w:p>
        </w:tc>
        <w:tc>
          <w:tcPr>
            <w:tcW w:w="0" w:type="auto"/>
            <w:hideMark/>
          </w:tcPr>
          <w:p w14:paraId="7BFE156A"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Lineamiento sobre autonomía y diversidad institucional bajo estándares comunes.</w:t>
            </w:r>
          </w:p>
        </w:tc>
      </w:tr>
    </w:tbl>
    <w:p w14:paraId="560CD313" w14:textId="77777777" w:rsidR="000630B5" w:rsidRPr="000630B5" w:rsidRDefault="000630B5" w:rsidP="000630B5">
      <w:pPr>
        <w:spacing w:after="0" w:line="240" w:lineRule="auto"/>
        <w:rPr>
          <w:rFonts w:eastAsia="Times New Roman" w:cstheme="minorHAnsi"/>
          <w:sz w:val="24"/>
          <w:szCs w:val="24"/>
          <w:lang w:eastAsia="es-PE"/>
        </w:rPr>
      </w:pPr>
      <w:r w:rsidRPr="000630B5">
        <w:rPr>
          <w:rFonts w:eastAsia="Times New Roman" w:cstheme="minorHAnsi"/>
          <w:sz w:val="24"/>
          <w:szCs w:val="24"/>
          <w:lang w:eastAsia="es-PE"/>
        </w:rPr>
        <w:pict w14:anchorId="66691C41">
          <v:rect id="_x0000_i1027" style="width:0;height:1.5pt" o:hralign="center" o:hrstd="t" o:hr="t" fillcolor="#a0a0a0" stroked="f"/>
        </w:pict>
      </w:r>
    </w:p>
    <w:p w14:paraId="450A6342" w14:textId="77777777" w:rsidR="000630B5" w:rsidRPr="000630B5" w:rsidRDefault="000630B5" w:rsidP="000630B5">
      <w:pPr>
        <w:spacing w:before="100" w:beforeAutospacing="1" w:after="100" w:afterAutospacing="1" w:line="240" w:lineRule="auto"/>
        <w:outlineLvl w:val="1"/>
        <w:rPr>
          <w:rFonts w:eastAsia="Times New Roman" w:cstheme="minorHAnsi"/>
          <w:b/>
          <w:bCs/>
          <w:sz w:val="24"/>
          <w:szCs w:val="24"/>
          <w:lang w:eastAsia="es-PE"/>
        </w:rPr>
      </w:pPr>
      <w:r w:rsidRPr="000630B5">
        <w:rPr>
          <w:rFonts w:eastAsia="Times New Roman" w:cstheme="minorHAnsi"/>
          <w:b/>
          <w:bCs/>
          <w:sz w:val="24"/>
          <w:szCs w:val="24"/>
          <w:lang w:eastAsia="es-PE"/>
        </w:rPr>
        <w:t>3) POLÍTICAS QUE EMERGEN DEL MODELO SINEACE (APLICABLES AL IPP)</w:t>
      </w:r>
    </w:p>
    <w:tbl>
      <w:tblPr>
        <w:tblStyle w:val="Tablaconcuadrcula"/>
        <w:tblW w:w="0" w:type="auto"/>
        <w:tblLook w:val="04A0" w:firstRow="1" w:lastRow="0" w:firstColumn="1" w:lastColumn="0" w:noHBand="0" w:noVBand="1"/>
      </w:tblPr>
      <w:tblGrid>
        <w:gridCol w:w="1863"/>
        <w:gridCol w:w="2111"/>
        <w:gridCol w:w="2646"/>
        <w:gridCol w:w="1874"/>
      </w:tblGrid>
      <w:tr w:rsidR="000630B5" w:rsidRPr="000630B5" w14:paraId="09B7C306" w14:textId="77777777" w:rsidTr="000630B5">
        <w:tc>
          <w:tcPr>
            <w:tcW w:w="0" w:type="auto"/>
            <w:hideMark/>
          </w:tcPr>
          <w:p w14:paraId="3A8EAF46"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Política (derivada del texto SINEACE)</w:t>
            </w:r>
          </w:p>
        </w:tc>
        <w:tc>
          <w:tcPr>
            <w:tcW w:w="0" w:type="auto"/>
            <w:hideMark/>
          </w:tcPr>
          <w:p w14:paraId="0EE6D12C"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Contenido en el documento</w:t>
            </w:r>
          </w:p>
        </w:tc>
        <w:tc>
          <w:tcPr>
            <w:tcW w:w="0" w:type="auto"/>
            <w:hideMark/>
          </w:tcPr>
          <w:p w14:paraId="47F33610"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Cómo se traduce en política IPP</w:t>
            </w:r>
          </w:p>
        </w:tc>
        <w:tc>
          <w:tcPr>
            <w:tcW w:w="0" w:type="auto"/>
            <w:hideMark/>
          </w:tcPr>
          <w:p w14:paraId="586DDCAD"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Cita</w:t>
            </w:r>
          </w:p>
        </w:tc>
      </w:tr>
      <w:tr w:rsidR="000630B5" w:rsidRPr="000630B5" w14:paraId="0E5A9B8D" w14:textId="77777777" w:rsidTr="000630B5">
        <w:tc>
          <w:tcPr>
            <w:tcW w:w="0" w:type="auto"/>
            <w:hideMark/>
          </w:tcPr>
          <w:p w14:paraId="69C17F6A"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Política de calidad como derecho y bien público</w:t>
            </w:r>
          </w:p>
        </w:tc>
        <w:tc>
          <w:tcPr>
            <w:tcW w:w="0" w:type="auto"/>
            <w:hideMark/>
          </w:tcPr>
          <w:p w14:paraId="3F41F53A"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El Estado debe garantizar educación de calidad centrada en la persona y el desarrollo humano.</w:t>
            </w:r>
          </w:p>
        </w:tc>
        <w:tc>
          <w:tcPr>
            <w:tcW w:w="0" w:type="auto"/>
            <w:hideMark/>
          </w:tcPr>
          <w:p w14:paraId="6069853D"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IPP puede formular una </w:t>
            </w:r>
            <w:r w:rsidRPr="000630B5">
              <w:rPr>
                <w:rFonts w:eastAsia="Times New Roman" w:cstheme="minorHAnsi"/>
                <w:b/>
                <w:bCs/>
                <w:sz w:val="24"/>
                <w:szCs w:val="24"/>
                <w:lang w:eastAsia="es-PE"/>
              </w:rPr>
              <w:t>Política Nacional de Desarrollo del Ingeniero Peruano</w:t>
            </w:r>
            <w:r w:rsidRPr="000630B5">
              <w:rPr>
                <w:rFonts w:eastAsia="Times New Roman" w:cstheme="minorHAnsi"/>
                <w:sz w:val="24"/>
                <w:szCs w:val="24"/>
                <w:lang w:eastAsia="es-PE"/>
              </w:rPr>
              <w:t xml:space="preserve"> donde la calidad del ejercicio profesional sea entendida como bien público y condición del desarrollo del país (Propósito IPP).</w:t>
            </w:r>
          </w:p>
        </w:tc>
        <w:tc>
          <w:tcPr>
            <w:tcW w:w="0" w:type="auto"/>
            <w:hideMark/>
          </w:tcPr>
          <w:p w14:paraId="4B2966D3"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Definición de calidad educativa y rol del Estado.</w:t>
            </w:r>
          </w:p>
        </w:tc>
      </w:tr>
      <w:tr w:rsidR="000630B5" w:rsidRPr="000630B5" w14:paraId="01D2705E" w14:textId="77777777" w:rsidTr="000630B5">
        <w:tc>
          <w:tcPr>
            <w:tcW w:w="0" w:type="auto"/>
            <w:hideMark/>
          </w:tcPr>
          <w:p w14:paraId="450E1D1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Política de aseguramiento continuo (no evento puntual)</w:t>
            </w:r>
          </w:p>
        </w:tc>
        <w:tc>
          <w:tcPr>
            <w:tcW w:w="0" w:type="auto"/>
            <w:hideMark/>
          </w:tcPr>
          <w:p w14:paraId="497F6714"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Aseguramiento = procesos permanentes de evaluación, supervisión y mejora; licenciamiento + acreditación + fomento.</w:t>
            </w:r>
          </w:p>
        </w:tc>
        <w:tc>
          <w:tcPr>
            <w:tcW w:w="0" w:type="auto"/>
            <w:hideMark/>
          </w:tcPr>
          <w:p w14:paraId="37A2550A"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IPP: política de </w:t>
            </w:r>
            <w:r w:rsidRPr="000630B5">
              <w:rPr>
                <w:rFonts w:eastAsia="Times New Roman" w:cstheme="minorHAnsi"/>
                <w:b/>
                <w:bCs/>
                <w:sz w:val="24"/>
                <w:szCs w:val="24"/>
                <w:lang w:eastAsia="es-PE"/>
              </w:rPr>
              <w:t>desarrollo profesional continuo</w:t>
            </w:r>
            <w:r w:rsidRPr="000630B5">
              <w:rPr>
                <w:rFonts w:eastAsia="Times New Roman" w:cstheme="minorHAnsi"/>
                <w:sz w:val="24"/>
                <w:szCs w:val="24"/>
                <w:lang w:eastAsia="es-PE"/>
              </w:rPr>
              <w:t xml:space="preserve">, con rutas de </w:t>
            </w:r>
            <w:proofErr w:type="spellStart"/>
            <w:r w:rsidRPr="000630B5">
              <w:rPr>
                <w:rFonts w:eastAsia="Times New Roman" w:cstheme="minorHAnsi"/>
                <w:sz w:val="24"/>
                <w:szCs w:val="24"/>
                <w:lang w:eastAsia="es-PE"/>
              </w:rPr>
              <w:t>reskilling</w:t>
            </w:r>
            <w:proofErr w:type="spellEnd"/>
            <w:r w:rsidRPr="000630B5">
              <w:rPr>
                <w:rFonts w:eastAsia="Times New Roman" w:cstheme="minorHAnsi"/>
                <w:sz w:val="24"/>
                <w:szCs w:val="24"/>
                <w:lang w:eastAsia="es-PE"/>
              </w:rPr>
              <w:t>/</w:t>
            </w:r>
            <w:proofErr w:type="spellStart"/>
            <w:r w:rsidRPr="000630B5">
              <w:rPr>
                <w:rFonts w:eastAsia="Times New Roman" w:cstheme="minorHAnsi"/>
                <w:sz w:val="24"/>
                <w:szCs w:val="24"/>
                <w:lang w:eastAsia="es-PE"/>
              </w:rPr>
              <w:t>upskilling</w:t>
            </w:r>
            <w:proofErr w:type="spellEnd"/>
            <w:r w:rsidRPr="000630B5">
              <w:rPr>
                <w:rFonts w:eastAsia="Times New Roman" w:cstheme="minorHAnsi"/>
                <w:sz w:val="24"/>
                <w:szCs w:val="24"/>
                <w:lang w:eastAsia="es-PE"/>
              </w:rPr>
              <w:t>, no cursos aislados para recaudar fondos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5</w:t>
            </w:r>
            <w:r w:rsidRPr="000630B5">
              <w:rPr>
                <w:rFonts w:eastAsia="Times New Roman" w:cstheme="minorHAnsi"/>
                <w:sz w:val="24"/>
                <w:szCs w:val="24"/>
                <w:lang w:eastAsia="es-PE"/>
              </w:rPr>
              <w:t>).</w:t>
            </w:r>
          </w:p>
        </w:tc>
        <w:tc>
          <w:tcPr>
            <w:tcW w:w="0" w:type="auto"/>
            <w:hideMark/>
          </w:tcPr>
          <w:p w14:paraId="69A53440"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QA como proceso continuo y articulado.</w:t>
            </w:r>
          </w:p>
        </w:tc>
      </w:tr>
      <w:tr w:rsidR="000630B5" w:rsidRPr="000630B5" w14:paraId="576F00DE" w14:textId="77777777" w:rsidTr="000630B5">
        <w:tc>
          <w:tcPr>
            <w:tcW w:w="0" w:type="auto"/>
            <w:hideMark/>
          </w:tcPr>
          <w:p w14:paraId="012D75F5"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lastRenderedPageBreak/>
              <w:t>Política de diferenciación por excelencia</w:t>
            </w:r>
          </w:p>
        </w:tc>
        <w:tc>
          <w:tcPr>
            <w:tcW w:w="0" w:type="auto"/>
            <w:hideMark/>
          </w:tcPr>
          <w:p w14:paraId="4812E723"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Acreditación reconoce altos niveles de calidad y genera diferenciación entre programas.</w:t>
            </w:r>
          </w:p>
        </w:tc>
        <w:tc>
          <w:tcPr>
            <w:tcW w:w="0" w:type="auto"/>
            <w:hideMark/>
          </w:tcPr>
          <w:p w14:paraId="1839FDD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IPP podría definir una </w:t>
            </w:r>
            <w:r w:rsidRPr="000630B5">
              <w:rPr>
                <w:rFonts w:eastAsia="Times New Roman" w:cstheme="minorHAnsi"/>
                <w:b/>
                <w:bCs/>
                <w:sz w:val="24"/>
                <w:szCs w:val="24"/>
                <w:lang w:eastAsia="es-PE"/>
              </w:rPr>
              <w:t>Política de Reconocimiento del Ingeniero con Alto Desempeño</w:t>
            </w:r>
            <w:r w:rsidRPr="000630B5">
              <w:rPr>
                <w:rFonts w:eastAsia="Times New Roman" w:cstheme="minorHAnsi"/>
                <w:sz w:val="24"/>
                <w:szCs w:val="24"/>
                <w:lang w:eastAsia="es-PE"/>
              </w:rPr>
              <w:t>, basada en competencias y contribución al desarrollo nacional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6 y 7</w:t>
            </w:r>
            <w:r w:rsidRPr="000630B5">
              <w:rPr>
                <w:rFonts w:eastAsia="Times New Roman" w:cstheme="minorHAnsi"/>
                <w:sz w:val="24"/>
                <w:szCs w:val="24"/>
                <w:lang w:eastAsia="es-PE"/>
              </w:rPr>
              <w:t>).</w:t>
            </w:r>
          </w:p>
        </w:tc>
        <w:tc>
          <w:tcPr>
            <w:tcW w:w="0" w:type="auto"/>
            <w:hideMark/>
          </w:tcPr>
          <w:p w14:paraId="03CC809F"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Acreditación de excelencia y vigencias diferenciadas.</w:t>
            </w:r>
          </w:p>
        </w:tc>
      </w:tr>
      <w:tr w:rsidR="000630B5" w:rsidRPr="000630B5" w14:paraId="36FB1D4D" w14:textId="77777777" w:rsidTr="000630B5">
        <w:tc>
          <w:tcPr>
            <w:tcW w:w="0" w:type="auto"/>
            <w:hideMark/>
          </w:tcPr>
          <w:p w14:paraId="58812BD3"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Política de uso de evidencia e indicadores</w:t>
            </w:r>
          </w:p>
        </w:tc>
        <w:tc>
          <w:tcPr>
            <w:tcW w:w="0" w:type="auto"/>
            <w:hideMark/>
          </w:tcPr>
          <w:p w14:paraId="6E7B1C0F"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El modelo 2025 incorpora indicadores, medios de verificación, reportes de riesgo y análisis de consistencia interna/externa.</w:t>
            </w:r>
          </w:p>
        </w:tc>
        <w:tc>
          <w:tcPr>
            <w:tcW w:w="0" w:type="auto"/>
            <w:hideMark/>
          </w:tcPr>
          <w:p w14:paraId="03F0668F"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IPP: política de que </w:t>
            </w:r>
            <w:r w:rsidRPr="000630B5">
              <w:rPr>
                <w:rFonts w:eastAsia="Times New Roman" w:cstheme="minorHAnsi"/>
                <w:b/>
                <w:bCs/>
                <w:sz w:val="24"/>
                <w:szCs w:val="24"/>
                <w:lang w:eastAsia="es-PE"/>
              </w:rPr>
              <w:t>toda decisión sobre competencias y programas de desarrollo se base en evidencia y datos del Observatorio</w:t>
            </w:r>
            <w:r w:rsidRPr="000630B5">
              <w:rPr>
                <w:rFonts w:eastAsia="Times New Roman" w:cstheme="minorHAnsi"/>
                <w:sz w:val="24"/>
                <w:szCs w:val="24"/>
                <w:lang w:eastAsia="es-PE"/>
              </w:rPr>
              <w:t xml:space="preserve">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4</w:t>
            </w:r>
            <w:r w:rsidRPr="000630B5">
              <w:rPr>
                <w:rFonts w:eastAsia="Times New Roman" w:cstheme="minorHAnsi"/>
                <w:sz w:val="24"/>
                <w:szCs w:val="24"/>
                <w:lang w:eastAsia="es-PE"/>
              </w:rPr>
              <w:t>).</w:t>
            </w:r>
          </w:p>
        </w:tc>
        <w:tc>
          <w:tcPr>
            <w:tcW w:w="0" w:type="auto"/>
            <w:hideMark/>
          </w:tcPr>
          <w:p w14:paraId="389B4036"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Tablas de estándares, criterios, indicadores y reportes de riesgo.</w:t>
            </w:r>
          </w:p>
        </w:tc>
      </w:tr>
      <w:tr w:rsidR="000630B5" w:rsidRPr="000630B5" w14:paraId="7B4C5CA3" w14:textId="77777777" w:rsidTr="000630B5">
        <w:tc>
          <w:tcPr>
            <w:tcW w:w="0" w:type="auto"/>
            <w:hideMark/>
          </w:tcPr>
          <w:p w14:paraId="5A9FE9F7"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Política de alineamiento con estándares internacionales</w:t>
            </w:r>
          </w:p>
        </w:tc>
        <w:tc>
          <w:tcPr>
            <w:tcW w:w="0" w:type="auto"/>
            <w:hideMark/>
          </w:tcPr>
          <w:p w14:paraId="43DF7E26"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El modelo se alinea con CHEA, ENQA, INQAAHE y otros marcos internacionales.</w:t>
            </w:r>
          </w:p>
        </w:tc>
        <w:tc>
          <w:tcPr>
            <w:tcW w:w="0" w:type="auto"/>
            <w:hideMark/>
          </w:tcPr>
          <w:p w14:paraId="6FF75457"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IPP: política explícita de </w:t>
            </w:r>
            <w:r w:rsidRPr="000630B5">
              <w:rPr>
                <w:rFonts w:eastAsia="Times New Roman" w:cstheme="minorHAnsi"/>
                <w:b/>
                <w:bCs/>
                <w:sz w:val="24"/>
                <w:szCs w:val="24"/>
                <w:lang w:eastAsia="es-PE"/>
              </w:rPr>
              <w:t>alinearse a marcos globales</w:t>
            </w:r>
            <w:r w:rsidRPr="000630B5">
              <w:rPr>
                <w:rFonts w:eastAsia="Times New Roman" w:cstheme="minorHAnsi"/>
                <w:sz w:val="24"/>
                <w:szCs w:val="24"/>
                <w:lang w:eastAsia="es-PE"/>
              </w:rPr>
              <w:t xml:space="preserve"> (E4E, IEA, UNESCO, WEF, BID, BM) para que el ingeniero peruano sea competitivo globalmente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3 y 7</w:t>
            </w:r>
            <w:r w:rsidRPr="000630B5">
              <w:rPr>
                <w:rFonts w:eastAsia="Times New Roman" w:cstheme="minorHAnsi"/>
                <w:sz w:val="24"/>
                <w:szCs w:val="24"/>
                <w:lang w:eastAsia="es-PE"/>
              </w:rPr>
              <w:t>).</w:t>
            </w:r>
          </w:p>
        </w:tc>
        <w:tc>
          <w:tcPr>
            <w:tcW w:w="0" w:type="auto"/>
            <w:hideMark/>
          </w:tcPr>
          <w:p w14:paraId="7E6B73F4"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Referencia a modelos y redes internacionales de aseguramiento.</w:t>
            </w:r>
          </w:p>
        </w:tc>
      </w:tr>
    </w:tbl>
    <w:p w14:paraId="3B8AC2F0" w14:textId="77777777" w:rsidR="000630B5" w:rsidRPr="000630B5" w:rsidRDefault="000630B5" w:rsidP="000630B5">
      <w:pPr>
        <w:spacing w:after="0" w:line="240" w:lineRule="auto"/>
        <w:rPr>
          <w:rFonts w:eastAsia="Times New Roman" w:cstheme="minorHAnsi"/>
          <w:sz w:val="24"/>
          <w:szCs w:val="24"/>
          <w:lang w:eastAsia="es-PE"/>
        </w:rPr>
      </w:pPr>
      <w:r w:rsidRPr="000630B5">
        <w:rPr>
          <w:rFonts w:eastAsia="Times New Roman" w:cstheme="minorHAnsi"/>
          <w:sz w:val="24"/>
          <w:szCs w:val="24"/>
          <w:lang w:eastAsia="es-PE"/>
        </w:rPr>
        <w:pict w14:anchorId="696DC5FF">
          <v:rect id="_x0000_i1028" style="width:0;height:1.5pt" o:hralign="center" o:hrstd="t" o:hr="t" fillcolor="#a0a0a0" stroked="f"/>
        </w:pict>
      </w:r>
    </w:p>
    <w:p w14:paraId="5565566A" w14:textId="77777777" w:rsidR="000630B5" w:rsidRPr="000630B5" w:rsidRDefault="000630B5" w:rsidP="000630B5">
      <w:pPr>
        <w:spacing w:before="100" w:beforeAutospacing="1" w:after="100" w:afterAutospacing="1" w:line="240" w:lineRule="auto"/>
        <w:outlineLvl w:val="1"/>
        <w:rPr>
          <w:rFonts w:eastAsia="Times New Roman" w:cstheme="minorHAnsi"/>
          <w:b/>
          <w:bCs/>
          <w:sz w:val="24"/>
          <w:szCs w:val="24"/>
          <w:lang w:eastAsia="es-PE"/>
        </w:rPr>
      </w:pPr>
      <w:r w:rsidRPr="000630B5">
        <w:rPr>
          <w:rFonts w:eastAsia="Times New Roman" w:cstheme="minorHAnsi"/>
          <w:b/>
          <w:bCs/>
          <w:sz w:val="24"/>
          <w:szCs w:val="24"/>
          <w:lang w:eastAsia="es-PE"/>
        </w:rPr>
        <w:t>4) BUENAS PRÁCTICAS QUE SUGIERE SINEACE (PORTABLES AL IPP)</w:t>
      </w:r>
    </w:p>
    <w:tbl>
      <w:tblPr>
        <w:tblStyle w:val="Tablaconcuadrcula"/>
        <w:tblW w:w="0" w:type="auto"/>
        <w:tblLook w:val="04A0" w:firstRow="1" w:lastRow="0" w:firstColumn="1" w:lastColumn="0" w:noHBand="0" w:noVBand="1"/>
      </w:tblPr>
      <w:tblGrid>
        <w:gridCol w:w="1995"/>
        <w:gridCol w:w="2068"/>
        <w:gridCol w:w="2488"/>
        <w:gridCol w:w="1943"/>
      </w:tblGrid>
      <w:tr w:rsidR="000630B5" w:rsidRPr="000630B5" w14:paraId="11B54844" w14:textId="77777777" w:rsidTr="000630B5">
        <w:tc>
          <w:tcPr>
            <w:tcW w:w="0" w:type="auto"/>
            <w:hideMark/>
          </w:tcPr>
          <w:p w14:paraId="2BB1098F"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Buena práctica mencionada o sugerida</w:t>
            </w:r>
          </w:p>
        </w:tc>
        <w:tc>
          <w:tcPr>
            <w:tcW w:w="0" w:type="auto"/>
            <w:hideMark/>
          </w:tcPr>
          <w:p w14:paraId="41C87FC0"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Cómo aparece en el modelo SINEACE</w:t>
            </w:r>
          </w:p>
        </w:tc>
        <w:tc>
          <w:tcPr>
            <w:tcW w:w="0" w:type="auto"/>
            <w:hideMark/>
          </w:tcPr>
          <w:p w14:paraId="43D9C98F"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Uso directo para el IPP</w:t>
            </w:r>
          </w:p>
        </w:tc>
        <w:tc>
          <w:tcPr>
            <w:tcW w:w="0" w:type="auto"/>
            <w:hideMark/>
          </w:tcPr>
          <w:p w14:paraId="15164081" w14:textId="77777777" w:rsidR="000630B5" w:rsidRPr="000630B5" w:rsidRDefault="000630B5" w:rsidP="000630B5">
            <w:pPr>
              <w:jc w:val="center"/>
              <w:rPr>
                <w:rFonts w:eastAsia="Times New Roman" w:cstheme="minorHAnsi"/>
                <w:b/>
                <w:bCs/>
                <w:sz w:val="24"/>
                <w:szCs w:val="24"/>
                <w:lang w:eastAsia="es-PE"/>
              </w:rPr>
            </w:pPr>
            <w:r w:rsidRPr="000630B5">
              <w:rPr>
                <w:rFonts w:eastAsia="Times New Roman" w:cstheme="minorHAnsi"/>
                <w:b/>
                <w:bCs/>
                <w:sz w:val="24"/>
                <w:szCs w:val="24"/>
                <w:lang w:eastAsia="es-PE"/>
              </w:rPr>
              <w:t>Cita</w:t>
            </w:r>
          </w:p>
        </w:tc>
      </w:tr>
      <w:tr w:rsidR="000630B5" w:rsidRPr="000630B5" w14:paraId="5D0B8ECA" w14:textId="77777777" w:rsidTr="000630B5">
        <w:tc>
          <w:tcPr>
            <w:tcW w:w="0" w:type="auto"/>
            <w:hideMark/>
          </w:tcPr>
          <w:p w14:paraId="72A22367"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Autoevaluación sistemática antes de la evaluación externa</w:t>
            </w:r>
          </w:p>
        </w:tc>
        <w:tc>
          <w:tcPr>
            <w:tcW w:w="0" w:type="auto"/>
            <w:hideMark/>
          </w:tcPr>
          <w:p w14:paraId="51352A4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El proceso de acreditación arranca con una autoevaluación detallada, basada en estándares y evidencias.</w:t>
            </w:r>
          </w:p>
        </w:tc>
        <w:tc>
          <w:tcPr>
            <w:tcW w:w="0" w:type="auto"/>
            <w:hideMark/>
          </w:tcPr>
          <w:p w14:paraId="7FA44D18"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El IPP puede impulsar </w:t>
            </w:r>
            <w:r w:rsidRPr="000630B5">
              <w:rPr>
                <w:rFonts w:eastAsia="Times New Roman" w:cstheme="minorHAnsi"/>
                <w:b/>
                <w:bCs/>
                <w:sz w:val="24"/>
                <w:szCs w:val="24"/>
                <w:lang w:eastAsia="es-PE"/>
              </w:rPr>
              <w:t>autoevaluaciones de competencias en ingenieros en ejercicio</w:t>
            </w:r>
            <w:r w:rsidRPr="000630B5">
              <w:rPr>
                <w:rFonts w:eastAsia="Times New Roman" w:cstheme="minorHAnsi"/>
                <w:sz w:val="24"/>
                <w:szCs w:val="24"/>
                <w:lang w:eastAsia="es-PE"/>
              </w:rPr>
              <w:t xml:space="preserve"> (por sector/región) antes de diseñar programas de cierre de brechas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1 y 4</w:t>
            </w:r>
            <w:r w:rsidRPr="000630B5">
              <w:rPr>
                <w:rFonts w:eastAsia="Times New Roman" w:cstheme="minorHAnsi"/>
                <w:sz w:val="24"/>
                <w:szCs w:val="24"/>
                <w:lang w:eastAsia="es-PE"/>
              </w:rPr>
              <w:t>).</w:t>
            </w:r>
          </w:p>
        </w:tc>
        <w:tc>
          <w:tcPr>
            <w:tcW w:w="0" w:type="auto"/>
            <w:hideMark/>
          </w:tcPr>
          <w:p w14:paraId="5D2E875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Descripción de etapas: autoevaluación, evaluación externa, acreditación.</w:t>
            </w:r>
          </w:p>
        </w:tc>
      </w:tr>
      <w:tr w:rsidR="000630B5" w:rsidRPr="000630B5" w14:paraId="41E9B854" w14:textId="77777777" w:rsidTr="000630B5">
        <w:tc>
          <w:tcPr>
            <w:tcW w:w="0" w:type="auto"/>
            <w:hideMark/>
          </w:tcPr>
          <w:p w14:paraId="1F71C855"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Uso de indicadores y medios de verificación claros</w:t>
            </w:r>
          </w:p>
        </w:tc>
        <w:tc>
          <w:tcPr>
            <w:tcW w:w="0" w:type="auto"/>
            <w:hideMark/>
          </w:tcPr>
          <w:p w14:paraId="6B1F1C66"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Se introducen indicadores y medios de verificación para garantizar </w:t>
            </w:r>
            <w:r w:rsidRPr="000630B5">
              <w:rPr>
                <w:rFonts w:eastAsia="Times New Roman" w:cstheme="minorHAnsi"/>
                <w:sz w:val="24"/>
                <w:szCs w:val="24"/>
                <w:lang w:eastAsia="es-PE"/>
              </w:rPr>
              <w:lastRenderedPageBreak/>
              <w:t>objetividad y predictibilidad.</w:t>
            </w:r>
          </w:p>
        </w:tc>
        <w:tc>
          <w:tcPr>
            <w:tcW w:w="0" w:type="auto"/>
            <w:hideMark/>
          </w:tcPr>
          <w:p w14:paraId="239165C0"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lastRenderedPageBreak/>
              <w:t xml:space="preserve">IPP: definir </w:t>
            </w:r>
            <w:r w:rsidRPr="000630B5">
              <w:rPr>
                <w:rFonts w:eastAsia="Times New Roman" w:cstheme="minorHAnsi"/>
                <w:b/>
                <w:bCs/>
                <w:sz w:val="24"/>
                <w:szCs w:val="24"/>
                <w:lang w:eastAsia="es-PE"/>
              </w:rPr>
              <w:t>indicadores de competencias transversales, empleabilidad e impacto</w:t>
            </w:r>
            <w:r w:rsidRPr="000630B5">
              <w:rPr>
                <w:rFonts w:eastAsia="Times New Roman" w:cstheme="minorHAnsi"/>
                <w:sz w:val="24"/>
                <w:szCs w:val="24"/>
                <w:lang w:eastAsia="es-PE"/>
              </w:rPr>
              <w:t xml:space="preserve"> para medir </w:t>
            </w:r>
            <w:r w:rsidRPr="000630B5">
              <w:rPr>
                <w:rFonts w:eastAsia="Times New Roman" w:cstheme="minorHAnsi"/>
                <w:sz w:val="24"/>
                <w:szCs w:val="24"/>
                <w:lang w:eastAsia="es-PE"/>
              </w:rPr>
              <w:lastRenderedPageBreak/>
              <w:t>avances del proyecto a nivel nacional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1, 4, 7</w:t>
            </w:r>
            <w:r w:rsidRPr="000630B5">
              <w:rPr>
                <w:rFonts w:eastAsia="Times New Roman" w:cstheme="minorHAnsi"/>
                <w:sz w:val="24"/>
                <w:szCs w:val="24"/>
                <w:lang w:eastAsia="es-PE"/>
              </w:rPr>
              <w:t>).</w:t>
            </w:r>
          </w:p>
        </w:tc>
        <w:tc>
          <w:tcPr>
            <w:tcW w:w="0" w:type="auto"/>
            <w:hideMark/>
          </w:tcPr>
          <w:p w14:paraId="1BF9316C"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lastRenderedPageBreak/>
              <w:t>Tabla de estándares, criterios, medios de verificación e indicadores.</w:t>
            </w:r>
          </w:p>
        </w:tc>
      </w:tr>
      <w:tr w:rsidR="000630B5" w:rsidRPr="000630B5" w14:paraId="296156BD" w14:textId="77777777" w:rsidTr="000630B5">
        <w:tc>
          <w:tcPr>
            <w:tcW w:w="0" w:type="auto"/>
            <w:hideMark/>
          </w:tcPr>
          <w:p w14:paraId="3E513BE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Reportes de riesgo y alertas tempranas</w:t>
            </w:r>
          </w:p>
        </w:tc>
        <w:tc>
          <w:tcPr>
            <w:tcW w:w="0" w:type="auto"/>
            <w:hideMark/>
          </w:tcPr>
          <w:p w14:paraId="4D747233"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El Reglamento de acreditación incorpora reportes de riesgo y alertas sobre insuficiencia de evidencia, sostenibilidad, mejora continua, coherencia.</w:t>
            </w:r>
          </w:p>
        </w:tc>
        <w:tc>
          <w:tcPr>
            <w:tcW w:w="0" w:type="auto"/>
            <w:hideMark/>
          </w:tcPr>
          <w:p w14:paraId="074DE17A"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IPP puede replicar esta práctica mediante un </w:t>
            </w:r>
            <w:r w:rsidRPr="000630B5">
              <w:rPr>
                <w:rFonts w:eastAsia="Times New Roman" w:cstheme="minorHAnsi"/>
                <w:b/>
                <w:bCs/>
                <w:sz w:val="24"/>
                <w:szCs w:val="24"/>
                <w:lang w:eastAsia="es-PE"/>
              </w:rPr>
              <w:t>sistema de alertas</w:t>
            </w:r>
            <w:r w:rsidRPr="000630B5">
              <w:rPr>
                <w:rFonts w:eastAsia="Times New Roman" w:cstheme="minorHAnsi"/>
                <w:sz w:val="24"/>
                <w:szCs w:val="24"/>
                <w:lang w:eastAsia="es-PE"/>
              </w:rPr>
              <w:t xml:space="preserve"> sobre brechas críticas de competencias en sectores claves (minería, energía, infraestructura) usando el Observatorio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4 y 7</w:t>
            </w:r>
            <w:r w:rsidRPr="000630B5">
              <w:rPr>
                <w:rFonts w:eastAsia="Times New Roman" w:cstheme="minorHAnsi"/>
                <w:sz w:val="24"/>
                <w:szCs w:val="24"/>
                <w:lang w:eastAsia="es-PE"/>
              </w:rPr>
              <w:t>).</w:t>
            </w:r>
          </w:p>
        </w:tc>
        <w:tc>
          <w:tcPr>
            <w:tcW w:w="0" w:type="auto"/>
            <w:hideMark/>
          </w:tcPr>
          <w:p w14:paraId="51CFBBB8"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Criterios: suficiencia, sostenibilidad, mejora continua, coherencia, consistencia.</w:t>
            </w:r>
          </w:p>
        </w:tc>
      </w:tr>
      <w:tr w:rsidR="000630B5" w:rsidRPr="000630B5" w14:paraId="41671A31" w14:textId="77777777" w:rsidTr="000630B5">
        <w:tc>
          <w:tcPr>
            <w:tcW w:w="0" w:type="auto"/>
            <w:hideMark/>
          </w:tcPr>
          <w:p w14:paraId="164962C9"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Comparación con modelos internacionales</w:t>
            </w:r>
          </w:p>
        </w:tc>
        <w:tc>
          <w:tcPr>
            <w:tcW w:w="0" w:type="auto"/>
            <w:hideMark/>
          </w:tcPr>
          <w:p w14:paraId="185F6F7F"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El modelo 2025 se construye comparando estructuras y contenidos con varios modelos internacionales de acreditación.</w:t>
            </w:r>
          </w:p>
        </w:tc>
        <w:tc>
          <w:tcPr>
            <w:tcW w:w="0" w:type="auto"/>
            <w:hideMark/>
          </w:tcPr>
          <w:p w14:paraId="204510A3"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El IPP puede adoptar la </w:t>
            </w:r>
            <w:r w:rsidRPr="000630B5">
              <w:rPr>
                <w:rFonts w:eastAsia="Times New Roman" w:cstheme="minorHAnsi"/>
                <w:b/>
                <w:bCs/>
                <w:sz w:val="24"/>
                <w:szCs w:val="24"/>
                <w:lang w:eastAsia="es-PE"/>
              </w:rPr>
              <w:t>comparación sistemática</w:t>
            </w:r>
            <w:r w:rsidRPr="000630B5">
              <w:rPr>
                <w:rFonts w:eastAsia="Times New Roman" w:cstheme="minorHAnsi"/>
                <w:sz w:val="24"/>
                <w:szCs w:val="24"/>
                <w:lang w:eastAsia="es-PE"/>
              </w:rPr>
              <w:t xml:space="preserve"> del ingeniero peruano con marcos de la UE, IEA, etc. para definir brechas y metas de desarrollo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3</w:t>
            </w:r>
            <w:r w:rsidRPr="000630B5">
              <w:rPr>
                <w:rFonts w:eastAsia="Times New Roman" w:cstheme="minorHAnsi"/>
                <w:sz w:val="24"/>
                <w:szCs w:val="24"/>
                <w:lang w:eastAsia="es-PE"/>
              </w:rPr>
              <w:t>).</w:t>
            </w:r>
          </w:p>
        </w:tc>
        <w:tc>
          <w:tcPr>
            <w:tcW w:w="0" w:type="auto"/>
            <w:hideMark/>
          </w:tcPr>
          <w:p w14:paraId="149C0B38"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Tabla de modelos internacionales (HCERES, ASIIN, ACSUG, WFME, etc.).</w:t>
            </w:r>
          </w:p>
        </w:tc>
      </w:tr>
      <w:tr w:rsidR="000630B5" w:rsidRPr="000630B5" w14:paraId="2D441036" w14:textId="77777777" w:rsidTr="000630B5">
        <w:tc>
          <w:tcPr>
            <w:tcW w:w="0" w:type="auto"/>
            <w:hideMark/>
          </w:tcPr>
          <w:p w14:paraId="2B64A225"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Separar condiciones mínimas (licenciamiento) de la excelencia (acreditación)</w:t>
            </w:r>
          </w:p>
        </w:tc>
        <w:tc>
          <w:tcPr>
            <w:tcW w:w="0" w:type="auto"/>
            <w:hideMark/>
          </w:tcPr>
          <w:p w14:paraId="4EAD1ED6"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Se diferencia claramente CBC de SUNEDU (operar) y estándares SINEACE (excelencia, impacto, mejora continua).</w:t>
            </w:r>
          </w:p>
        </w:tc>
        <w:tc>
          <w:tcPr>
            <w:tcW w:w="0" w:type="auto"/>
            <w:hideMark/>
          </w:tcPr>
          <w:p w14:paraId="6284D6D3"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El IPP puede distinguir entre: </w:t>
            </w:r>
            <w:r w:rsidRPr="000630B5">
              <w:rPr>
                <w:rFonts w:eastAsia="Times New Roman" w:cstheme="minorHAnsi"/>
                <w:b/>
                <w:bCs/>
                <w:sz w:val="24"/>
                <w:szCs w:val="24"/>
                <w:lang w:eastAsia="es-PE"/>
              </w:rPr>
              <w:t>cumplimiento mínimo del ejercicio profesional</w:t>
            </w:r>
            <w:r w:rsidRPr="000630B5">
              <w:rPr>
                <w:rFonts w:eastAsia="Times New Roman" w:cstheme="minorHAnsi"/>
                <w:sz w:val="24"/>
                <w:szCs w:val="24"/>
                <w:lang w:eastAsia="es-PE"/>
              </w:rPr>
              <w:t xml:space="preserve"> y </w:t>
            </w:r>
            <w:r w:rsidRPr="000630B5">
              <w:rPr>
                <w:rFonts w:eastAsia="Times New Roman" w:cstheme="minorHAnsi"/>
                <w:b/>
                <w:bCs/>
                <w:sz w:val="24"/>
                <w:szCs w:val="24"/>
                <w:lang w:eastAsia="es-PE"/>
              </w:rPr>
              <w:t>competencias de excelencia</w:t>
            </w:r>
            <w:r w:rsidRPr="000630B5">
              <w:rPr>
                <w:rFonts w:eastAsia="Times New Roman" w:cstheme="minorHAnsi"/>
                <w:sz w:val="24"/>
                <w:szCs w:val="24"/>
                <w:lang w:eastAsia="es-PE"/>
              </w:rPr>
              <w:t xml:space="preserve"> (nivel deseado a 10–15 años), evitando confundir regulación con desarrollo profesional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1, 3 y 5</w:t>
            </w:r>
            <w:r w:rsidRPr="000630B5">
              <w:rPr>
                <w:rFonts w:eastAsia="Times New Roman" w:cstheme="minorHAnsi"/>
                <w:sz w:val="24"/>
                <w:szCs w:val="24"/>
                <w:lang w:eastAsia="es-PE"/>
              </w:rPr>
              <w:t>).</w:t>
            </w:r>
          </w:p>
        </w:tc>
        <w:tc>
          <w:tcPr>
            <w:tcW w:w="0" w:type="auto"/>
            <w:hideMark/>
          </w:tcPr>
          <w:p w14:paraId="1D3249C0"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Comparación entre CBC y estándares de acreditación.</w:t>
            </w:r>
          </w:p>
        </w:tc>
      </w:tr>
      <w:tr w:rsidR="000630B5" w:rsidRPr="000630B5" w14:paraId="194BA240" w14:textId="77777777" w:rsidTr="000630B5">
        <w:tc>
          <w:tcPr>
            <w:tcW w:w="0" w:type="auto"/>
            <w:hideMark/>
          </w:tcPr>
          <w:p w14:paraId="272EA9B5"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b/>
                <w:bCs/>
                <w:sz w:val="24"/>
                <w:szCs w:val="24"/>
                <w:lang w:eastAsia="es-PE"/>
              </w:rPr>
              <w:t>Gestión de la información como eje de calidad</w:t>
            </w:r>
          </w:p>
        </w:tc>
        <w:tc>
          <w:tcPr>
            <w:tcW w:w="0" w:type="auto"/>
            <w:hideMark/>
          </w:tcPr>
          <w:p w14:paraId="4431402C"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Se exige gestión sistemática de la información para supervisar, revisar y mejorar los programas.</w:t>
            </w:r>
          </w:p>
        </w:tc>
        <w:tc>
          <w:tcPr>
            <w:tcW w:w="0" w:type="auto"/>
            <w:hideMark/>
          </w:tcPr>
          <w:p w14:paraId="3077B366"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 xml:space="preserve">Base directa para el </w:t>
            </w:r>
            <w:r w:rsidRPr="000630B5">
              <w:rPr>
                <w:rFonts w:eastAsia="Times New Roman" w:cstheme="minorHAnsi"/>
                <w:b/>
                <w:bCs/>
                <w:sz w:val="24"/>
                <w:szCs w:val="24"/>
                <w:lang w:eastAsia="es-PE"/>
              </w:rPr>
              <w:t>Observatorio IPP</w:t>
            </w:r>
            <w:r w:rsidRPr="000630B5">
              <w:rPr>
                <w:rFonts w:eastAsia="Times New Roman" w:cstheme="minorHAnsi"/>
                <w:sz w:val="24"/>
                <w:szCs w:val="24"/>
                <w:lang w:eastAsia="es-PE"/>
              </w:rPr>
              <w:t xml:space="preserve"> como buena práctica de gobernanza de datos de competencias y empleabilidad (</w:t>
            </w:r>
            <w:proofErr w:type="spellStart"/>
            <w:r w:rsidRPr="000630B5">
              <w:rPr>
                <w:rFonts w:eastAsia="Times New Roman" w:cstheme="minorHAnsi"/>
                <w:b/>
                <w:bCs/>
                <w:sz w:val="24"/>
                <w:szCs w:val="24"/>
                <w:lang w:eastAsia="es-PE"/>
              </w:rPr>
              <w:t>Obj</w:t>
            </w:r>
            <w:proofErr w:type="spellEnd"/>
            <w:r w:rsidRPr="000630B5">
              <w:rPr>
                <w:rFonts w:eastAsia="Times New Roman" w:cstheme="minorHAnsi"/>
                <w:b/>
                <w:bCs/>
                <w:sz w:val="24"/>
                <w:szCs w:val="24"/>
                <w:lang w:eastAsia="es-PE"/>
              </w:rPr>
              <w:t>. 4</w:t>
            </w:r>
            <w:r w:rsidRPr="000630B5">
              <w:rPr>
                <w:rFonts w:eastAsia="Times New Roman" w:cstheme="minorHAnsi"/>
                <w:sz w:val="24"/>
                <w:szCs w:val="24"/>
                <w:lang w:eastAsia="es-PE"/>
              </w:rPr>
              <w:t>).</w:t>
            </w:r>
          </w:p>
        </w:tc>
        <w:tc>
          <w:tcPr>
            <w:tcW w:w="0" w:type="auto"/>
            <w:hideMark/>
          </w:tcPr>
          <w:p w14:paraId="7B2A1A9B" w14:textId="77777777" w:rsidR="000630B5" w:rsidRPr="000630B5" w:rsidRDefault="000630B5" w:rsidP="000630B5">
            <w:pPr>
              <w:rPr>
                <w:rFonts w:eastAsia="Times New Roman" w:cstheme="minorHAnsi"/>
                <w:sz w:val="24"/>
                <w:szCs w:val="24"/>
                <w:lang w:eastAsia="es-PE"/>
              </w:rPr>
            </w:pPr>
            <w:r w:rsidRPr="000630B5">
              <w:rPr>
                <w:rFonts w:eastAsia="Times New Roman" w:cstheme="minorHAnsi"/>
                <w:sz w:val="24"/>
                <w:szCs w:val="24"/>
                <w:lang w:eastAsia="es-PE"/>
              </w:rPr>
              <w:t>Estándar de gestión de la información en el modelo 2025.</w:t>
            </w:r>
          </w:p>
        </w:tc>
      </w:tr>
    </w:tbl>
    <w:p w14:paraId="059C2122" w14:textId="77777777" w:rsidR="000630B5" w:rsidRPr="000630B5" w:rsidRDefault="000630B5" w:rsidP="000630B5">
      <w:pPr>
        <w:spacing w:after="0" w:line="240" w:lineRule="auto"/>
        <w:rPr>
          <w:rFonts w:eastAsia="Times New Roman" w:cstheme="minorHAnsi"/>
          <w:sz w:val="24"/>
          <w:szCs w:val="24"/>
          <w:lang w:eastAsia="es-PE"/>
        </w:rPr>
      </w:pPr>
      <w:r w:rsidRPr="000630B5">
        <w:rPr>
          <w:rFonts w:eastAsia="Times New Roman" w:cstheme="minorHAnsi"/>
          <w:sz w:val="24"/>
          <w:szCs w:val="24"/>
          <w:lang w:eastAsia="es-PE"/>
        </w:rPr>
        <w:pict w14:anchorId="3351C66B">
          <v:rect id="_x0000_i1029" style="width:0;height:1.5pt" o:hralign="center" o:hrstd="t" o:hr="t" fillcolor="#a0a0a0" stroked="f"/>
        </w:pict>
      </w:r>
    </w:p>
    <w:p w14:paraId="17118E2D" w14:textId="6968994A" w:rsidR="000630B5" w:rsidRPr="000630B5" w:rsidRDefault="000630B5" w:rsidP="000630B5">
      <w:pPr>
        <w:pStyle w:val="Ttulo1"/>
        <w:rPr>
          <w:rFonts w:asciiTheme="minorHAnsi" w:hAnsiTheme="minorHAnsi" w:cstheme="minorHAnsi"/>
          <w:color w:val="auto"/>
          <w:sz w:val="24"/>
          <w:szCs w:val="24"/>
        </w:rPr>
      </w:pPr>
      <w:r w:rsidRPr="000630B5">
        <w:rPr>
          <w:rStyle w:val="Textoennegrita"/>
          <w:rFonts w:asciiTheme="minorHAnsi" w:hAnsiTheme="minorHAnsi" w:cstheme="minorHAnsi"/>
          <w:color w:val="auto"/>
          <w:sz w:val="24"/>
          <w:szCs w:val="24"/>
        </w:rPr>
        <w:t>5.</w:t>
      </w:r>
      <w:r w:rsidRPr="000630B5">
        <w:rPr>
          <w:rStyle w:val="Textoennegrita"/>
          <w:rFonts w:asciiTheme="minorHAnsi" w:hAnsiTheme="minorHAnsi" w:cstheme="minorHAnsi"/>
          <w:color w:val="auto"/>
          <w:sz w:val="24"/>
          <w:szCs w:val="24"/>
        </w:rPr>
        <w:t xml:space="preserve"> SÍNTESIS EJECUTIVA (TABLA)</w:t>
      </w:r>
    </w:p>
    <w:tbl>
      <w:tblPr>
        <w:tblStyle w:val="Tablaconcuadrcula"/>
        <w:tblW w:w="0" w:type="auto"/>
        <w:tblLook w:val="04A0" w:firstRow="1" w:lastRow="0" w:firstColumn="1" w:lastColumn="0" w:noHBand="0" w:noVBand="1"/>
      </w:tblPr>
      <w:tblGrid>
        <w:gridCol w:w="1596"/>
        <w:gridCol w:w="3041"/>
        <w:gridCol w:w="3857"/>
      </w:tblGrid>
      <w:tr w:rsidR="000630B5" w:rsidRPr="000630B5" w14:paraId="2A67A7A8" w14:textId="77777777" w:rsidTr="000630B5">
        <w:tc>
          <w:tcPr>
            <w:tcW w:w="0" w:type="auto"/>
            <w:hideMark/>
          </w:tcPr>
          <w:p w14:paraId="59E5CCB6" w14:textId="77777777" w:rsidR="000630B5" w:rsidRPr="000630B5" w:rsidRDefault="000630B5">
            <w:pPr>
              <w:jc w:val="center"/>
              <w:rPr>
                <w:rFonts w:cstheme="minorHAnsi"/>
                <w:b/>
                <w:bCs/>
                <w:sz w:val="24"/>
                <w:szCs w:val="24"/>
              </w:rPr>
            </w:pPr>
            <w:r w:rsidRPr="000630B5">
              <w:rPr>
                <w:rFonts w:cstheme="minorHAnsi"/>
                <w:b/>
                <w:bCs/>
                <w:sz w:val="24"/>
                <w:szCs w:val="24"/>
              </w:rPr>
              <w:t>Categoría</w:t>
            </w:r>
          </w:p>
        </w:tc>
        <w:tc>
          <w:tcPr>
            <w:tcW w:w="0" w:type="auto"/>
            <w:hideMark/>
          </w:tcPr>
          <w:p w14:paraId="5FEB362F" w14:textId="77777777" w:rsidR="000630B5" w:rsidRPr="000630B5" w:rsidRDefault="000630B5">
            <w:pPr>
              <w:jc w:val="center"/>
              <w:rPr>
                <w:rFonts w:cstheme="minorHAnsi"/>
                <w:b/>
                <w:bCs/>
                <w:sz w:val="24"/>
                <w:szCs w:val="24"/>
              </w:rPr>
            </w:pPr>
            <w:r w:rsidRPr="000630B5">
              <w:rPr>
                <w:rFonts w:cstheme="minorHAnsi"/>
                <w:b/>
                <w:bCs/>
                <w:sz w:val="24"/>
                <w:szCs w:val="24"/>
              </w:rPr>
              <w:t>Lo que dice SINEACE</w:t>
            </w:r>
          </w:p>
        </w:tc>
        <w:tc>
          <w:tcPr>
            <w:tcW w:w="0" w:type="auto"/>
            <w:hideMark/>
          </w:tcPr>
          <w:p w14:paraId="5D8AA1A2" w14:textId="77777777" w:rsidR="000630B5" w:rsidRPr="000630B5" w:rsidRDefault="000630B5">
            <w:pPr>
              <w:jc w:val="center"/>
              <w:rPr>
                <w:rFonts w:cstheme="minorHAnsi"/>
                <w:b/>
                <w:bCs/>
                <w:sz w:val="24"/>
                <w:szCs w:val="24"/>
              </w:rPr>
            </w:pPr>
            <w:r w:rsidRPr="000630B5">
              <w:rPr>
                <w:rFonts w:cstheme="minorHAnsi"/>
                <w:b/>
                <w:bCs/>
                <w:sz w:val="24"/>
                <w:szCs w:val="24"/>
              </w:rPr>
              <w:t>Traducción estratégica para el IPP</w:t>
            </w:r>
          </w:p>
        </w:tc>
      </w:tr>
      <w:tr w:rsidR="000630B5" w:rsidRPr="000630B5" w14:paraId="078E2748" w14:textId="77777777" w:rsidTr="000630B5">
        <w:tc>
          <w:tcPr>
            <w:tcW w:w="0" w:type="auto"/>
            <w:hideMark/>
          </w:tcPr>
          <w:p w14:paraId="6597AFC5" w14:textId="77777777" w:rsidR="000630B5" w:rsidRPr="000630B5" w:rsidRDefault="000630B5">
            <w:pPr>
              <w:rPr>
                <w:rFonts w:cstheme="minorHAnsi"/>
                <w:sz w:val="24"/>
                <w:szCs w:val="24"/>
              </w:rPr>
            </w:pPr>
            <w:r w:rsidRPr="000630B5">
              <w:rPr>
                <w:rStyle w:val="Textoennegrita"/>
                <w:rFonts w:cstheme="minorHAnsi"/>
                <w:sz w:val="24"/>
                <w:szCs w:val="24"/>
              </w:rPr>
              <w:t>Conceptos clave</w:t>
            </w:r>
          </w:p>
        </w:tc>
        <w:tc>
          <w:tcPr>
            <w:tcW w:w="0" w:type="auto"/>
            <w:hideMark/>
          </w:tcPr>
          <w:p w14:paraId="073F0D4F" w14:textId="77777777" w:rsidR="000630B5" w:rsidRPr="000630B5" w:rsidRDefault="000630B5">
            <w:pPr>
              <w:rPr>
                <w:rFonts w:cstheme="minorHAnsi"/>
                <w:sz w:val="24"/>
                <w:szCs w:val="24"/>
              </w:rPr>
            </w:pPr>
            <w:r w:rsidRPr="000630B5">
              <w:rPr>
                <w:rFonts w:cstheme="minorHAnsi"/>
                <w:sz w:val="24"/>
                <w:szCs w:val="24"/>
              </w:rPr>
              <w:t xml:space="preserve">Calidad = desarrollo humano, ciudadanía, </w:t>
            </w:r>
            <w:r w:rsidRPr="000630B5">
              <w:rPr>
                <w:rFonts w:cstheme="minorHAnsi"/>
                <w:sz w:val="24"/>
                <w:szCs w:val="24"/>
              </w:rPr>
              <w:lastRenderedPageBreak/>
              <w:t>pertinencia, innovación, mejora continua, responsabilidad institucional.</w:t>
            </w:r>
          </w:p>
        </w:tc>
        <w:tc>
          <w:tcPr>
            <w:tcW w:w="0" w:type="auto"/>
            <w:hideMark/>
          </w:tcPr>
          <w:p w14:paraId="18EE4307" w14:textId="77777777" w:rsidR="000630B5" w:rsidRPr="000630B5" w:rsidRDefault="000630B5">
            <w:pPr>
              <w:rPr>
                <w:rFonts w:cstheme="minorHAnsi"/>
                <w:sz w:val="24"/>
                <w:szCs w:val="24"/>
              </w:rPr>
            </w:pPr>
            <w:r w:rsidRPr="000630B5">
              <w:rPr>
                <w:rFonts w:cstheme="minorHAnsi"/>
                <w:sz w:val="24"/>
                <w:szCs w:val="24"/>
              </w:rPr>
              <w:lastRenderedPageBreak/>
              <w:t xml:space="preserve">IPP debe enfocarse en </w:t>
            </w:r>
            <w:r w:rsidRPr="000630B5">
              <w:rPr>
                <w:rStyle w:val="Textoennegrita"/>
                <w:rFonts w:cstheme="minorHAnsi"/>
                <w:sz w:val="24"/>
                <w:szCs w:val="24"/>
              </w:rPr>
              <w:t xml:space="preserve">ingenieros competentes, éticos, innovadores y </w:t>
            </w:r>
            <w:r w:rsidRPr="000630B5">
              <w:rPr>
                <w:rStyle w:val="Textoennegrita"/>
                <w:rFonts w:cstheme="minorHAnsi"/>
                <w:sz w:val="24"/>
                <w:szCs w:val="24"/>
              </w:rPr>
              <w:lastRenderedPageBreak/>
              <w:t>orientados al desarrollo del país</w:t>
            </w:r>
            <w:r w:rsidRPr="000630B5">
              <w:rPr>
                <w:rFonts w:cstheme="minorHAnsi"/>
                <w:sz w:val="24"/>
                <w:szCs w:val="24"/>
              </w:rPr>
              <w:t>, no solo en cursos o certificaciones.</w:t>
            </w:r>
          </w:p>
        </w:tc>
      </w:tr>
      <w:tr w:rsidR="000630B5" w:rsidRPr="000630B5" w14:paraId="70146BAA" w14:textId="77777777" w:rsidTr="000630B5">
        <w:tc>
          <w:tcPr>
            <w:tcW w:w="0" w:type="auto"/>
            <w:hideMark/>
          </w:tcPr>
          <w:p w14:paraId="7385B06C" w14:textId="77777777" w:rsidR="000630B5" w:rsidRPr="000630B5" w:rsidRDefault="000630B5">
            <w:pPr>
              <w:rPr>
                <w:rFonts w:cstheme="minorHAnsi"/>
                <w:sz w:val="24"/>
                <w:szCs w:val="24"/>
              </w:rPr>
            </w:pPr>
            <w:r w:rsidRPr="000630B5">
              <w:rPr>
                <w:rStyle w:val="Textoennegrita"/>
                <w:rFonts w:cstheme="minorHAnsi"/>
                <w:sz w:val="24"/>
                <w:szCs w:val="24"/>
              </w:rPr>
              <w:lastRenderedPageBreak/>
              <w:t>Lineamientos</w:t>
            </w:r>
          </w:p>
        </w:tc>
        <w:tc>
          <w:tcPr>
            <w:tcW w:w="0" w:type="auto"/>
            <w:hideMark/>
          </w:tcPr>
          <w:p w14:paraId="6ACE1312" w14:textId="77777777" w:rsidR="000630B5" w:rsidRPr="000630B5" w:rsidRDefault="000630B5">
            <w:pPr>
              <w:rPr>
                <w:rFonts w:cstheme="minorHAnsi"/>
                <w:sz w:val="24"/>
                <w:szCs w:val="24"/>
              </w:rPr>
            </w:pPr>
            <w:r w:rsidRPr="000630B5">
              <w:rPr>
                <w:rFonts w:cstheme="minorHAnsi"/>
                <w:sz w:val="24"/>
                <w:szCs w:val="24"/>
              </w:rPr>
              <w:t>Transparencia, participación, evidencia, estándares internacionales, pertinencia territorial y holismo.</w:t>
            </w:r>
          </w:p>
        </w:tc>
        <w:tc>
          <w:tcPr>
            <w:tcW w:w="0" w:type="auto"/>
            <w:hideMark/>
          </w:tcPr>
          <w:p w14:paraId="7EBE92D8" w14:textId="77777777" w:rsidR="000630B5" w:rsidRPr="000630B5" w:rsidRDefault="000630B5">
            <w:pPr>
              <w:rPr>
                <w:rFonts w:cstheme="minorHAnsi"/>
                <w:sz w:val="24"/>
                <w:szCs w:val="24"/>
              </w:rPr>
            </w:pPr>
            <w:r w:rsidRPr="000630B5">
              <w:rPr>
                <w:rFonts w:cstheme="minorHAnsi"/>
                <w:sz w:val="24"/>
                <w:szCs w:val="24"/>
              </w:rPr>
              <w:t xml:space="preserve">IPP debe crear un </w:t>
            </w:r>
            <w:r w:rsidRPr="000630B5">
              <w:rPr>
                <w:rStyle w:val="Textoennegrita"/>
                <w:rFonts w:cstheme="minorHAnsi"/>
                <w:sz w:val="24"/>
                <w:szCs w:val="24"/>
              </w:rPr>
              <w:t xml:space="preserve">ecosistema de datos, colaboración </w:t>
            </w:r>
            <w:proofErr w:type="spellStart"/>
            <w:r w:rsidRPr="000630B5">
              <w:rPr>
                <w:rStyle w:val="Textoennegrita"/>
                <w:rFonts w:cstheme="minorHAnsi"/>
                <w:sz w:val="24"/>
                <w:szCs w:val="24"/>
              </w:rPr>
              <w:t>multiactor</w:t>
            </w:r>
            <w:proofErr w:type="spellEnd"/>
            <w:r w:rsidRPr="000630B5">
              <w:rPr>
                <w:rStyle w:val="Textoennegrita"/>
                <w:rFonts w:cstheme="minorHAnsi"/>
                <w:sz w:val="24"/>
                <w:szCs w:val="24"/>
              </w:rPr>
              <w:t>, estándares nacionales de competencias y articulación territorial-sectorial</w:t>
            </w:r>
            <w:r w:rsidRPr="000630B5">
              <w:rPr>
                <w:rFonts w:cstheme="minorHAnsi"/>
                <w:sz w:val="24"/>
                <w:szCs w:val="24"/>
              </w:rPr>
              <w:t>.</w:t>
            </w:r>
          </w:p>
        </w:tc>
      </w:tr>
      <w:tr w:rsidR="000630B5" w:rsidRPr="000630B5" w14:paraId="5D4F57F9" w14:textId="77777777" w:rsidTr="000630B5">
        <w:tc>
          <w:tcPr>
            <w:tcW w:w="0" w:type="auto"/>
            <w:hideMark/>
          </w:tcPr>
          <w:p w14:paraId="5A735B0F" w14:textId="77777777" w:rsidR="000630B5" w:rsidRPr="000630B5" w:rsidRDefault="000630B5">
            <w:pPr>
              <w:rPr>
                <w:rFonts w:cstheme="minorHAnsi"/>
                <w:sz w:val="24"/>
                <w:szCs w:val="24"/>
              </w:rPr>
            </w:pPr>
            <w:r w:rsidRPr="000630B5">
              <w:rPr>
                <w:rStyle w:val="Textoennegrita"/>
                <w:rFonts w:cstheme="minorHAnsi"/>
                <w:sz w:val="24"/>
                <w:szCs w:val="24"/>
              </w:rPr>
              <w:t>Políticas</w:t>
            </w:r>
          </w:p>
        </w:tc>
        <w:tc>
          <w:tcPr>
            <w:tcW w:w="0" w:type="auto"/>
            <w:hideMark/>
          </w:tcPr>
          <w:p w14:paraId="1679237F" w14:textId="77777777" w:rsidR="000630B5" w:rsidRPr="000630B5" w:rsidRDefault="000630B5">
            <w:pPr>
              <w:rPr>
                <w:rFonts w:cstheme="minorHAnsi"/>
                <w:sz w:val="24"/>
                <w:szCs w:val="24"/>
              </w:rPr>
            </w:pPr>
            <w:r w:rsidRPr="000630B5">
              <w:rPr>
                <w:rFonts w:cstheme="minorHAnsi"/>
                <w:sz w:val="24"/>
                <w:szCs w:val="24"/>
              </w:rPr>
              <w:t>Aseguramiento continuo, diferenciación por excelencia, uso de indicadores, alineamiento internacional.</w:t>
            </w:r>
          </w:p>
        </w:tc>
        <w:tc>
          <w:tcPr>
            <w:tcW w:w="0" w:type="auto"/>
            <w:hideMark/>
          </w:tcPr>
          <w:p w14:paraId="405378D5" w14:textId="77777777" w:rsidR="000630B5" w:rsidRPr="000630B5" w:rsidRDefault="000630B5">
            <w:pPr>
              <w:rPr>
                <w:rFonts w:cstheme="minorHAnsi"/>
                <w:sz w:val="24"/>
                <w:szCs w:val="24"/>
              </w:rPr>
            </w:pPr>
            <w:r w:rsidRPr="000630B5">
              <w:rPr>
                <w:rFonts w:cstheme="minorHAnsi"/>
                <w:sz w:val="24"/>
                <w:szCs w:val="24"/>
              </w:rPr>
              <w:t xml:space="preserve">IPP debe impulsar una </w:t>
            </w:r>
            <w:r w:rsidRPr="000630B5">
              <w:rPr>
                <w:rStyle w:val="Textoennegrita"/>
                <w:rFonts w:cstheme="minorHAnsi"/>
                <w:sz w:val="24"/>
                <w:szCs w:val="24"/>
              </w:rPr>
              <w:t>Política Nacional del Desarrollo Continuo del Ingeniero Peruano</w:t>
            </w:r>
            <w:r w:rsidRPr="000630B5">
              <w:rPr>
                <w:rFonts w:cstheme="minorHAnsi"/>
                <w:sz w:val="24"/>
                <w:szCs w:val="24"/>
              </w:rPr>
              <w:t xml:space="preserve">, con indicadores, rutas de </w:t>
            </w:r>
            <w:proofErr w:type="spellStart"/>
            <w:r w:rsidRPr="000630B5">
              <w:rPr>
                <w:rFonts w:cstheme="minorHAnsi"/>
                <w:sz w:val="24"/>
                <w:szCs w:val="24"/>
              </w:rPr>
              <w:t>upskilling</w:t>
            </w:r>
            <w:proofErr w:type="spellEnd"/>
            <w:r w:rsidRPr="000630B5">
              <w:rPr>
                <w:rFonts w:cstheme="minorHAnsi"/>
                <w:sz w:val="24"/>
                <w:szCs w:val="24"/>
              </w:rPr>
              <w:t>/</w:t>
            </w:r>
            <w:proofErr w:type="spellStart"/>
            <w:r w:rsidRPr="000630B5">
              <w:rPr>
                <w:rFonts w:cstheme="minorHAnsi"/>
                <w:sz w:val="24"/>
                <w:szCs w:val="24"/>
              </w:rPr>
              <w:t>reskilling</w:t>
            </w:r>
            <w:proofErr w:type="spellEnd"/>
            <w:r w:rsidRPr="000630B5">
              <w:rPr>
                <w:rFonts w:cstheme="minorHAnsi"/>
                <w:sz w:val="24"/>
                <w:szCs w:val="24"/>
              </w:rPr>
              <w:t xml:space="preserve"> y proyección internacional.</w:t>
            </w:r>
          </w:p>
        </w:tc>
      </w:tr>
      <w:tr w:rsidR="000630B5" w:rsidRPr="000630B5" w14:paraId="6FA60D96" w14:textId="77777777" w:rsidTr="000630B5">
        <w:tc>
          <w:tcPr>
            <w:tcW w:w="0" w:type="auto"/>
            <w:hideMark/>
          </w:tcPr>
          <w:p w14:paraId="47EEC811" w14:textId="77777777" w:rsidR="000630B5" w:rsidRPr="000630B5" w:rsidRDefault="000630B5">
            <w:pPr>
              <w:rPr>
                <w:rFonts w:cstheme="minorHAnsi"/>
                <w:sz w:val="24"/>
                <w:szCs w:val="24"/>
              </w:rPr>
            </w:pPr>
            <w:r w:rsidRPr="000630B5">
              <w:rPr>
                <w:rStyle w:val="Textoennegrita"/>
                <w:rFonts w:cstheme="minorHAnsi"/>
                <w:sz w:val="24"/>
                <w:szCs w:val="24"/>
              </w:rPr>
              <w:t>Buenas prácticas</w:t>
            </w:r>
          </w:p>
        </w:tc>
        <w:tc>
          <w:tcPr>
            <w:tcW w:w="0" w:type="auto"/>
            <w:hideMark/>
          </w:tcPr>
          <w:p w14:paraId="2E7E217F" w14:textId="77777777" w:rsidR="000630B5" w:rsidRPr="000630B5" w:rsidRDefault="000630B5">
            <w:pPr>
              <w:rPr>
                <w:rFonts w:cstheme="minorHAnsi"/>
                <w:sz w:val="24"/>
                <w:szCs w:val="24"/>
              </w:rPr>
            </w:pPr>
            <w:r w:rsidRPr="000630B5">
              <w:rPr>
                <w:rFonts w:cstheme="minorHAnsi"/>
                <w:sz w:val="24"/>
                <w:szCs w:val="24"/>
              </w:rPr>
              <w:t>Autoevaluación, indicadores claros, reportes de riesgo, benchmarking internacional, separación entre mínimos y excelencia.</w:t>
            </w:r>
          </w:p>
        </w:tc>
        <w:tc>
          <w:tcPr>
            <w:tcW w:w="0" w:type="auto"/>
            <w:hideMark/>
          </w:tcPr>
          <w:p w14:paraId="37D7DF80" w14:textId="77777777" w:rsidR="000630B5" w:rsidRPr="000630B5" w:rsidRDefault="000630B5">
            <w:pPr>
              <w:rPr>
                <w:rFonts w:cstheme="minorHAnsi"/>
                <w:sz w:val="24"/>
                <w:szCs w:val="24"/>
              </w:rPr>
            </w:pPr>
            <w:r w:rsidRPr="000630B5">
              <w:rPr>
                <w:rFonts w:cstheme="minorHAnsi"/>
                <w:sz w:val="24"/>
                <w:szCs w:val="24"/>
              </w:rPr>
              <w:t xml:space="preserve">IPP debe implementar </w:t>
            </w:r>
            <w:r w:rsidRPr="000630B5">
              <w:rPr>
                <w:rStyle w:val="Textoennegrita"/>
                <w:rFonts w:cstheme="minorHAnsi"/>
                <w:sz w:val="24"/>
                <w:szCs w:val="24"/>
              </w:rPr>
              <w:t>autoevaluaciones sectoriales, observatorios, mapas de riesgo de brechas, y estándares diferenciados de competencias</w:t>
            </w:r>
            <w:r w:rsidRPr="000630B5">
              <w:rPr>
                <w:rFonts w:cstheme="minorHAnsi"/>
                <w:sz w:val="24"/>
                <w:szCs w:val="24"/>
              </w:rPr>
              <w:t xml:space="preserve"> para ingenieros en ejercicio.</w:t>
            </w:r>
          </w:p>
        </w:tc>
      </w:tr>
    </w:tbl>
    <w:p w14:paraId="50641666" w14:textId="77777777" w:rsidR="000630B5" w:rsidRPr="000630B5" w:rsidRDefault="000630B5" w:rsidP="000630B5">
      <w:pPr>
        <w:rPr>
          <w:rFonts w:cstheme="minorHAnsi"/>
          <w:sz w:val="24"/>
          <w:szCs w:val="24"/>
        </w:rPr>
      </w:pPr>
      <w:r w:rsidRPr="000630B5">
        <w:rPr>
          <w:rFonts w:cstheme="minorHAnsi"/>
          <w:sz w:val="24"/>
          <w:szCs w:val="24"/>
        </w:rPr>
        <w:pict w14:anchorId="4C41E596">
          <v:rect id="_x0000_i1076" style="width:0;height:1.5pt" o:hralign="center" o:hrstd="t" o:hr="t" fillcolor="#a0a0a0" stroked="f"/>
        </w:pict>
      </w:r>
    </w:p>
    <w:p w14:paraId="2ABC17E7" w14:textId="35D73C16" w:rsidR="000630B5" w:rsidRPr="000630B5" w:rsidRDefault="000630B5" w:rsidP="000630B5">
      <w:pPr>
        <w:pStyle w:val="Ttulo1"/>
        <w:rPr>
          <w:rFonts w:asciiTheme="minorHAnsi" w:hAnsiTheme="minorHAnsi" w:cstheme="minorHAnsi"/>
          <w:color w:val="auto"/>
          <w:sz w:val="24"/>
          <w:szCs w:val="24"/>
        </w:rPr>
      </w:pPr>
      <w:r w:rsidRPr="000630B5">
        <w:rPr>
          <w:rStyle w:val="Textoennegrita"/>
          <w:rFonts w:asciiTheme="minorHAnsi" w:hAnsiTheme="minorHAnsi" w:cstheme="minorHAnsi"/>
          <w:color w:val="auto"/>
          <w:sz w:val="24"/>
          <w:szCs w:val="24"/>
        </w:rPr>
        <w:t>6</w:t>
      </w:r>
      <w:r w:rsidRPr="000630B5">
        <w:rPr>
          <w:rStyle w:val="Textoennegrita"/>
          <w:rFonts w:asciiTheme="minorHAnsi" w:hAnsiTheme="minorHAnsi" w:cstheme="minorHAnsi"/>
          <w:color w:val="auto"/>
          <w:sz w:val="24"/>
          <w:szCs w:val="24"/>
        </w:rPr>
        <w:t>. CONCLUSIÓN ESTRATÉGICA (PROSA BREVE)</w:t>
      </w:r>
    </w:p>
    <w:p w14:paraId="0CEDD263" w14:textId="77777777" w:rsidR="000630B5" w:rsidRPr="000630B5" w:rsidRDefault="000630B5" w:rsidP="000630B5">
      <w:pPr>
        <w:pStyle w:val="NormalWeb"/>
        <w:rPr>
          <w:rFonts w:asciiTheme="minorHAnsi" w:hAnsiTheme="minorHAnsi" w:cstheme="minorHAnsi"/>
        </w:rPr>
      </w:pPr>
      <w:r w:rsidRPr="000630B5">
        <w:rPr>
          <w:rFonts w:asciiTheme="minorHAnsi" w:hAnsiTheme="minorHAnsi" w:cstheme="minorHAnsi"/>
        </w:rPr>
        <w:t xml:space="preserve">El Modelo SINEACE 2025 aporta un marco sólido que, trasladado al IPP, permite convertir un país con un ecosistema fragmentado en un sistema articulado donde la calidad del ingeniero se entiende como un </w:t>
      </w:r>
      <w:r w:rsidRPr="000630B5">
        <w:rPr>
          <w:rStyle w:val="Textoennegrita"/>
          <w:rFonts w:asciiTheme="minorHAnsi" w:hAnsiTheme="minorHAnsi" w:cstheme="minorHAnsi"/>
        </w:rPr>
        <w:t>bien público</w:t>
      </w:r>
      <w:r w:rsidRPr="000630B5">
        <w:rPr>
          <w:rFonts w:asciiTheme="minorHAnsi" w:hAnsiTheme="minorHAnsi" w:cstheme="minorHAnsi"/>
        </w:rPr>
        <w:t>, con impacto directo en productividad, infraestructura, sostenibilidad y desarrollo nacional.</w:t>
      </w:r>
    </w:p>
    <w:p w14:paraId="1AACCECC" w14:textId="77777777" w:rsidR="000630B5" w:rsidRPr="000630B5" w:rsidRDefault="000630B5" w:rsidP="000630B5">
      <w:pPr>
        <w:pStyle w:val="NormalWeb"/>
        <w:rPr>
          <w:rFonts w:asciiTheme="minorHAnsi" w:hAnsiTheme="minorHAnsi" w:cstheme="minorHAnsi"/>
        </w:rPr>
      </w:pPr>
      <w:r w:rsidRPr="000630B5">
        <w:rPr>
          <w:rFonts w:asciiTheme="minorHAnsi" w:hAnsiTheme="minorHAnsi" w:cstheme="minorHAnsi"/>
        </w:rPr>
        <w:t>Aplicado al IPP, este marco implica tres transformaciones claves:</w:t>
      </w:r>
    </w:p>
    <w:p w14:paraId="72862FBD" w14:textId="77777777" w:rsidR="000630B5" w:rsidRPr="000630B5" w:rsidRDefault="000630B5" w:rsidP="000630B5">
      <w:pPr>
        <w:pStyle w:val="NormalWeb"/>
        <w:numPr>
          <w:ilvl w:val="0"/>
          <w:numId w:val="2"/>
        </w:numPr>
        <w:rPr>
          <w:rFonts w:asciiTheme="minorHAnsi" w:hAnsiTheme="minorHAnsi" w:cstheme="minorHAnsi"/>
        </w:rPr>
      </w:pPr>
      <w:r w:rsidRPr="000630B5">
        <w:rPr>
          <w:rStyle w:val="Textoennegrita"/>
          <w:rFonts w:asciiTheme="minorHAnsi" w:hAnsiTheme="minorHAnsi" w:cstheme="minorHAnsi"/>
        </w:rPr>
        <w:t>De cursos dispersos → a un sistema nacional de competencias</w:t>
      </w:r>
      <w:r w:rsidRPr="000630B5">
        <w:rPr>
          <w:rFonts w:asciiTheme="minorHAnsi" w:hAnsiTheme="minorHAnsi" w:cstheme="minorHAnsi"/>
        </w:rPr>
        <w:t>, con estándares, indicadores, reconocimiento y mejora continua del ingeniero peruano.</w:t>
      </w:r>
    </w:p>
    <w:p w14:paraId="20E25861" w14:textId="77777777" w:rsidR="000630B5" w:rsidRPr="000630B5" w:rsidRDefault="000630B5" w:rsidP="000630B5">
      <w:pPr>
        <w:pStyle w:val="NormalWeb"/>
        <w:numPr>
          <w:ilvl w:val="0"/>
          <w:numId w:val="2"/>
        </w:numPr>
        <w:rPr>
          <w:rFonts w:asciiTheme="minorHAnsi" w:hAnsiTheme="minorHAnsi" w:cstheme="minorHAnsi"/>
        </w:rPr>
      </w:pPr>
      <w:r w:rsidRPr="000630B5">
        <w:rPr>
          <w:rStyle w:val="Textoennegrita"/>
          <w:rFonts w:asciiTheme="minorHAnsi" w:hAnsiTheme="minorHAnsi" w:cstheme="minorHAnsi"/>
        </w:rPr>
        <w:t>De actores aislados → a gobernanza colaborativa</w:t>
      </w:r>
      <w:r w:rsidRPr="000630B5">
        <w:rPr>
          <w:rFonts w:asciiTheme="minorHAnsi" w:hAnsiTheme="minorHAnsi" w:cstheme="minorHAnsi"/>
        </w:rPr>
        <w:t>, donde universidades, colegios profesionales, empresas y Estado asumen responsabilidad compartida por la calidad del ejercicio profesional.</w:t>
      </w:r>
    </w:p>
    <w:p w14:paraId="26653850" w14:textId="77777777" w:rsidR="000630B5" w:rsidRPr="000630B5" w:rsidRDefault="000630B5" w:rsidP="000630B5">
      <w:pPr>
        <w:pStyle w:val="NormalWeb"/>
        <w:numPr>
          <w:ilvl w:val="0"/>
          <w:numId w:val="2"/>
        </w:numPr>
        <w:rPr>
          <w:rFonts w:asciiTheme="minorHAnsi" w:hAnsiTheme="minorHAnsi" w:cstheme="minorHAnsi"/>
        </w:rPr>
      </w:pPr>
      <w:r w:rsidRPr="000630B5">
        <w:rPr>
          <w:rStyle w:val="Textoennegrita"/>
          <w:rFonts w:asciiTheme="minorHAnsi" w:hAnsiTheme="minorHAnsi" w:cstheme="minorHAnsi"/>
        </w:rPr>
        <w:t>De intuiciones → a decisiones basadas en evidencia</w:t>
      </w:r>
      <w:r w:rsidRPr="000630B5">
        <w:rPr>
          <w:rFonts w:asciiTheme="minorHAnsi" w:hAnsiTheme="minorHAnsi" w:cstheme="minorHAnsi"/>
        </w:rPr>
        <w:t>, utilizando un Observatorio Nacional para mapear brechas, riesgos, empleabilidad y necesidades reales del país.</w:t>
      </w:r>
    </w:p>
    <w:p w14:paraId="4C0958C2" w14:textId="4426ADB7" w:rsidR="004B25EC" w:rsidRPr="000630B5" w:rsidRDefault="000630B5" w:rsidP="000630B5">
      <w:pPr>
        <w:pStyle w:val="NormalWeb"/>
        <w:rPr>
          <w:rFonts w:asciiTheme="minorHAnsi" w:hAnsiTheme="minorHAnsi" w:cstheme="minorHAnsi"/>
        </w:rPr>
      </w:pPr>
      <w:r w:rsidRPr="000630B5">
        <w:rPr>
          <w:rFonts w:asciiTheme="minorHAnsi" w:hAnsiTheme="minorHAnsi" w:cstheme="minorHAnsi"/>
        </w:rPr>
        <w:t xml:space="preserve">En síntesis, SINEACE 2025 respalda que el IPP no sea un proyecto de cursos ni certificaciones, sino un </w:t>
      </w:r>
      <w:r w:rsidRPr="000630B5">
        <w:rPr>
          <w:rStyle w:val="Textoennegrita"/>
          <w:rFonts w:asciiTheme="minorHAnsi" w:hAnsiTheme="minorHAnsi" w:cstheme="minorHAnsi"/>
        </w:rPr>
        <w:t>sistema articulado, técnico y sostenido de desarrollo del ingeniero peruano</w:t>
      </w:r>
      <w:r w:rsidRPr="000630B5">
        <w:rPr>
          <w:rFonts w:asciiTheme="minorHAnsi" w:hAnsiTheme="minorHAnsi" w:cstheme="minorHAnsi"/>
        </w:rPr>
        <w:t>, con estándares internacionales y mecanismos claros para medir impacto en el desarrollo sostenible del Perú.</w:t>
      </w:r>
    </w:p>
    <w:sectPr w:rsidR="004B25EC" w:rsidRPr="000630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06AE3"/>
    <w:multiLevelType w:val="multilevel"/>
    <w:tmpl w:val="A3AA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EB7467"/>
    <w:multiLevelType w:val="multilevel"/>
    <w:tmpl w:val="BDF4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B5"/>
    <w:rsid w:val="000630B5"/>
    <w:rsid w:val="004B25E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DCC1"/>
  <w15:chartTrackingRefBased/>
  <w15:docId w15:val="{97B7557E-0345-4725-B9FB-E50ACD71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30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0630B5"/>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630B5"/>
    <w:rPr>
      <w:rFonts w:ascii="Times New Roman" w:eastAsia="Times New Roman" w:hAnsi="Times New Roman" w:cs="Times New Roman"/>
      <w:b/>
      <w:bCs/>
      <w:sz w:val="36"/>
      <w:szCs w:val="36"/>
      <w:lang w:eastAsia="es-PE"/>
    </w:rPr>
  </w:style>
  <w:style w:type="paragraph" w:styleId="NormalWeb">
    <w:name w:val="Normal (Web)"/>
    <w:basedOn w:val="Normal"/>
    <w:uiPriority w:val="99"/>
    <w:unhideWhenUsed/>
    <w:rsid w:val="000630B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0630B5"/>
    <w:rPr>
      <w:b/>
      <w:bCs/>
    </w:rPr>
  </w:style>
  <w:style w:type="character" w:styleId="nfasis">
    <w:name w:val="Emphasis"/>
    <w:basedOn w:val="Fuentedeprrafopredeter"/>
    <w:uiPriority w:val="20"/>
    <w:qFormat/>
    <w:rsid w:val="000630B5"/>
    <w:rPr>
      <w:i/>
      <w:iCs/>
    </w:rPr>
  </w:style>
  <w:style w:type="table" w:styleId="Tablaconcuadrcula">
    <w:name w:val="Table Grid"/>
    <w:basedOn w:val="Tablanormal"/>
    <w:uiPriority w:val="39"/>
    <w:rsid w:val="00063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0630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0630B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44659">
      <w:bodyDiv w:val="1"/>
      <w:marLeft w:val="0"/>
      <w:marRight w:val="0"/>
      <w:marTop w:val="0"/>
      <w:marBottom w:val="0"/>
      <w:divBdr>
        <w:top w:val="none" w:sz="0" w:space="0" w:color="auto"/>
        <w:left w:val="none" w:sz="0" w:space="0" w:color="auto"/>
        <w:bottom w:val="none" w:sz="0" w:space="0" w:color="auto"/>
        <w:right w:val="none" w:sz="0" w:space="0" w:color="auto"/>
      </w:divBdr>
    </w:div>
    <w:div w:id="866335161">
      <w:bodyDiv w:val="1"/>
      <w:marLeft w:val="0"/>
      <w:marRight w:val="0"/>
      <w:marTop w:val="0"/>
      <w:marBottom w:val="0"/>
      <w:divBdr>
        <w:top w:val="none" w:sz="0" w:space="0" w:color="auto"/>
        <w:left w:val="none" w:sz="0" w:space="0" w:color="auto"/>
        <w:bottom w:val="none" w:sz="0" w:space="0" w:color="auto"/>
        <w:right w:val="none" w:sz="0" w:space="0" w:color="auto"/>
      </w:divBdr>
      <w:divsChild>
        <w:div w:id="2045253719">
          <w:marLeft w:val="0"/>
          <w:marRight w:val="0"/>
          <w:marTop w:val="0"/>
          <w:marBottom w:val="0"/>
          <w:divBdr>
            <w:top w:val="none" w:sz="0" w:space="0" w:color="auto"/>
            <w:left w:val="none" w:sz="0" w:space="0" w:color="auto"/>
            <w:bottom w:val="none" w:sz="0" w:space="0" w:color="auto"/>
            <w:right w:val="none" w:sz="0" w:space="0" w:color="auto"/>
          </w:divBdr>
          <w:divsChild>
            <w:div w:id="5182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2004</Words>
  <Characters>11025</Characters>
  <Application>Microsoft Office Word</Application>
  <DocSecurity>0</DocSecurity>
  <Lines>91</Lines>
  <Paragraphs>26</Paragraphs>
  <ScaleCrop>false</ScaleCrop>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INTELECTIA SAC</dc:creator>
  <cp:keywords/>
  <dc:description/>
  <cp:lastModifiedBy>INTELECTIA SAC</cp:lastModifiedBy>
  <cp:revision>1</cp:revision>
  <dcterms:created xsi:type="dcterms:W3CDTF">2025-11-12T21:38:00Z</dcterms:created>
  <dcterms:modified xsi:type="dcterms:W3CDTF">2025-11-12T21:45:00Z</dcterms:modified>
</cp:coreProperties>
</file>