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Etapa 10: Despacho</w:t>
      </w:r>
    </w:p>
    <w:p>
      <w:pPr>
        <w:pStyle w:val="Heading2"/>
      </w:pPr>
      <w:r>
        <w:t>1. Objetivo</w:t>
      </w:r>
    </w:p>
    <w:p>
      <w:r>
        <w:t>Garantizar que el producto envasado y almacenado sea distribuido en condiciones seguras, manteniendo su calidad e inocuidad hasta su entrega al cliente final.</w:t>
      </w:r>
    </w:p>
    <w:p>
      <w:pPr>
        <w:pStyle w:val="Heading2"/>
      </w:pPr>
      <w:r>
        <w:t>2. Detalle de la Etapa en Categorías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Procesos</w:t>
            </w:r>
          </w:p>
        </w:tc>
        <w:tc>
          <w:tcPr>
            <w:tcW w:type="dxa" w:w="2880"/>
          </w:tcPr>
          <w:p>
            <w:r>
              <w:t>Requisitos ambientales</w:t>
            </w:r>
          </w:p>
        </w:tc>
        <w:tc>
          <w:tcPr>
            <w:tcW w:type="dxa" w:w="2880"/>
          </w:tcPr>
          <w:p>
            <w:r>
              <w:t>Normativa</w:t>
            </w:r>
          </w:p>
        </w:tc>
      </w:tr>
      <w:tr>
        <w:tc>
          <w:tcPr>
            <w:tcW w:type="dxa" w:w="2880"/>
          </w:tcPr>
          <w:p>
            <w:r>
              <w:t>- Preparación de pedidos según órdenes.</w:t>
              <w:br/>
              <w:t>- Verificación de integridad de envases y etiquetas.</w:t>
              <w:br/>
              <w:t>- Paletizado y embalaje secundario (film stretch, cajas, etc.).</w:t>
              <w:br/>
              <w:t>- Control documental: guía de despacho, factura, trazabilidad de lote.</w:t>
              <w:br/>
              <w:t>- Carga en vehículos de transporte bajo condiciones controladas.</w:t>
              <w:br/>
              <w:t>- Registro de despacho y conformidad del cliente.</w:t>
            </w:r>
          </w:p>
        </w:tc>
        <w:tc>
          <w:tcPr>
            <w:tcW w:type="dxa" w:w="2880"/>
          </w:tcPr>
          <w:p>
            <w:r>
              <w:t>- Área de despacho separada del almacenamiento.</w:t>
              <w:br/>
              <w:t>- Temperatura ambiente controlada (20–25 °C) y HR ≤ 60%.</w:t>
              <w:br/>
              <w:t>- Ventilación adecuada con filtración MERV 13 o superior.</w:t>
              <w:br/>
              <w:t>- Espacio limpio, seco y libre de plagas.</w:t>
              <w:br/>
              <w:t>- Vehículos de transporte limpios, cerrados y protegidos contra polvo y humedad.</w:t>
              <w:br/>
              <w:t>- Señalización y flujo unidireccional para evitar contaminación cruzada.</w:t>
            </w:r>
          </w:p>
        </w:tc>
        <w:tc>
          <w:tcPr>
            <w:tcW w:type="dxa" w:w="2880"/>
          </w:tcPr>
          <w:p>
            <w:r>
              <w:t>- Codex Alimentarius CAC/RCP 1-1969 (Rev. 2022) – General Principles of Food Hygiene.</w:t>
              <w:br/>
              <w:t>- ISO 22000:2018 – Food Safety Management Systems.</w:t>
              <w:br/>
              <w:t>- FDA 21 CFR 117 (cGMP).</w:t>
              <w:br/>
              <w:t>- Codex CAC/RCP 53-2003 – Code of Hygienic Practice for the Transport of Food.</w:t>
              <w:br/>
              <w:t>- ISO/TS 22002-1:2009 – Prerequisite programs on food safety (Part 1: Food manufacturing).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