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Etapa 9: Envasado</w:t>
      </w:r>
    </w:p>
    <w:p>
      <w:pPr>
        <w:pStyle w:val="Heading2"/>
      </w:pPr>
      <w:r>
        <w:t>1. Objetivo</w:t>
      </w:r>
    </w:p>
    <w:p>
      <w:r>
        <w:t>Proteger el producto deshidratado de la humedad, la contaminación y la oxidación, asegurando su conservación, inocuidad y vida útil durante el almacenamiento y distribución.</w:t>
      </w:r>
    </w:p>
    <w:p>
      <w:pPr>
        <w:pStyle w:val="Heading2"/>
      </w:pPr>
      <w:r>
        <w:t>2. Detalle de la Etapa en Categorías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Procesos</w:t>
            </w:r>
          </w:p>
        </w:tc>
        <w:tc>
          <w:tcPr>
            <w:tcW w:type="dxa" w:w="2880"/>
          </w:tcPr>
          <w:p>
            <w:r>
              <w:t>Requisitos ambientales</w:t>
            </w:r>
          </w:p>
        </w:tc>
        <w:tc>
          <w:tcPr>
            <w:tcW w:type="dxa" w:w="2880"/>
          </w:tcPr>
          <w:p>
            <w:r>
              <w:t>Normativa</w:t>
            </w:r>
          </w:p>
        </w:tc>
      </w:tr>
      <w:tr>
        <w:tc>
          <w:tcPr>
            <w:tcW w:type="dxa" w:w="2880"/>
          </w:tcPr>
          <w:p>
            <w:r>
              <w:t>- Selección del material de envase (ej. bolsas multilaminadas con barrera a la humedad y oxígeno).</w:t>
              <w:br/>
              <w:t>- Llenado automático o manual del producto deshidratado.</w:t>
              <w:br/>
              <w:t>- Sellado térmico o al vacío según especificación.</w:t>
              <w:br/>
              <w:t>- Etiquetado con información obligatoria (lote, fecha de producción y vencimiento).</w:t>
              <w:br/>
              <w:t>- Inspección visual de sellado y empaques.</w:t>
              <w:br/>
              <w:t>- Registro de lotes envasados.</w:t>
            </w:r>
          </w:p>
        </w:tc>
        <w:tc>
          <w:tcPr>
            <w:tcW w:type="dxa" w:w="2880"/>
          </w:tcPr>
          <w:p>
            <w:r>
              <w:t>- Área cerrada tipo sala limpia con acceso restringido.</w:t>
              <w:br/>
              <w:t>- Ventilación con 10–15 ACH y filtración HEPA (MERV 17 o superior).</w:t>
              <w:br/>
              <w:t>- Temperatura controlada (20–25 °C) y HR ≤ 50% para evitar rehidratación.</w:t>
              <w:br/>
              <w:t>- Superficies de acero inoxidable y materiales grado alimenticio.</w:t>
              <w:br/>
              <w:t>- Protección contra plagas y partículas.</w:t>
              <w:br/>
              <w:t>- Iluminación protegida contra roturas.</w:t>
            </w:r>
          </w:p>
        </w:tc>
        <w:tc>
          <w:tcPr>
            <w:tcW w:type="dxa" w:w="2880"/>
          </w:tcPr>
          <w:p>
            <w:r>
              <w:t>- Codex Alimentarius CAC/RCP 1-1969 (Rev. 2022) – General Principles of Food Hygiene.</w:t>
              <w:br/>
              <w:t>- Codex CAC/RCP 21-1979 – Code of Hygienic Practice for Packaging.</w:t>
              <w:br/>
              <w:t>- FDA 21 CFR 117 (cGMP).</w:t>
              <w:br/>
              <w:t>- ISO 22000:2018 – Food Safety Management Systems.</w:t>
              <w:br/>
              <w:t>- ISO/TS 22002-1:2009 – Prerequisite programs on food safety (Part 1: Food manufacturing).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