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Etapa 8: Control de calidad</w:t>
      </w:r>
    </w:p>
    <w:p>
      <w:pPr>
        <w:pStyle w:val="Heading2"/>
      </w:pPr>
      <w:r>
        <w:t>1. Objetivo</w:t>
      </w:r>
    </w:p>
    <w:p>
      <w:r>
        <w:t>Verificar que el producto deshidratado cumpla con los parámetros establecidos de inocuidad, humedad, textura, color, sabor y seguridad microbiológica antes del envasado y la distribución.</w:t>
      </w:r>
    </w:p>
    <w:p>
      <w:pPr>
        <w:pStyle w:val="Heading2"/>
      </w:pPr>
      <w:r>
        <w:t>2. Detalle de la Etapa en Categorías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Procesos</w:t>
            </w:r>
          </w:p>
        </w:tc>
        <w:tc>
          <w:tcPr>
            <w:tcW w:type="dxa" w:w="2880"/>
          </w:tcPr>
          <w:p>
            <w:r>
              <w:t>Requisitos ambientales</w:t>
            </w:r>
          </w:p>
        </w:tc>
        <w:tc>
          <w:tcPr>
            <w:tcW w:type="dxa" w:w="2880"/>
          </w:tcPr>
          <w:p>
            <w:r>
              <w:t>Normativa</w:t>
            </w:r>
          </w:p>
        </w:tc>
      </w:tr>
      <w:tr>
        <w:tc>
          <w:tcPr>
            <w:tcW w:type="dxa" w:w="2880"/>
          </w:tcPr>
          <w:p>
            <w:r>
              <w:t>- Muestreo representativo de cada lote.</w:t>
              <w:br/>
              <w:t>- Evaluación sensorial (color, textura, olor y sabor).</w:t>
              <w:br/>
              <w:t>- Medición de humedad residual (ej. &lt;10%).</w:t>
              <w:br/>
              <w:t>- Análisis microbiológicos según especificación.</w:t>
              <w:br/>
              <w:t>- Verificación de parámetros físicos y químicos.</w:t>
              <w:br/>
              <w:t>- Registro de resultados y liberación de lote.</w:t>
            </w:r>
          </w:p>
        </w:tc>
        <w:tc>
          <w:tcPr>
            <w:tcW w:type="dxa" w:w="2880"/>
          </w:tcPr>
          <w:p>
            <w:r>
              <w:t>- Laboratorio cerrado con acceso restringido.</w:t>
              <w:br/>
              <w:t>- Control ambiental: temperatura 20–25 °C, HR ≤ 60%.</w:t>
              <w:br/>
              <w:t>- Ventilación mecánica con 10–12 ACH y filtración MERV 13–15.</w:t>
              <w:br/>
              <w:t>- Equipos calibrados y con mantenimiento documentado.</w:t>
              <w:br/>
              <w:t>- Superficies lisas, lavables y resistentes a químicos.</w:t>
              <w:br/>
              <w:t>- Iluminación adecuada para análisis visual.</w:t>
            </w:r>
          </w:p>
        </w:tc>
        <w:tc>
          <w:tcPr>
            <w:tcW w:type="dxa" w:w="2880"/>
          </w:tcPr>
          <w:p>
            <w:r>
              <w:t>- Codex Alimentarius CAC/RCP 1-1969 (Rev. 2022) – General Principles of Food Hygiene.</w:t>
              <w:br/>
              <w:t>- ISO 22000:2018 – Food Safety Management Systems.</w:t>
              <w:br/>
              <w:t>- ISO/IEC 17025:2017 – General requirements for the competence of testing laboratories.</w:t>
              <w:br/>
              <w:t>- FDA 21 CFR 117 (cGMP).</w:t>
              <w:br/>
              <w:t>- Codex CAC/RCP 5-2004 – Code of Hygienic Practice for Low-Moisture Foods.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