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Etapa 7: Enfriamiento del producto deshidratado</w:t>
      </w:r>
    </w:p>
    <w:p>
      <w:pPr>
        <w:pStyle w:val="Heading2"/>
      </w:pPr>
      <w:r>
        <w:t>1. Objetivo</w:t>
      </w:r>
    </w:p>
    <w:p>
      <w:r>
        <w:t>Reducir la temperatura del producto deshidratado a niveles seguros para su manipulación y almacenamiento, evitando la condensación y el deterioro de la calidad.</w:t>
      </w:r>
    </w:p>
    <w:p>
      <w:pPr>
        <w:pStyle w:val="Heading2"/>
      </w:pPr>
      <w:r>
        <w:t>2. Detalle de la Etapa en Categorías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Procesos</w:t>
            </w:r>
          </w:p>
        </w:tc>
        <w:tc>
          <w:tcPr>
            <w:tcW w:type="dxa" w:w="2880"/>
          </w:tcPr>
          <w:p>
            <w:r>
              <w:t>Requisitos ambientales</w:t>
            </w:r>
          </w:p>
        </w:tc>
        <w:tc>
          <w:tcPr>
            <w:tcW w:type="dxa" w:w="2880"/>
          </w:tcPr>
          <w:p>
            <w:r>
              <w:t>Normativa</w:t>
            </w:r>
          </w:p>
        </w:tc>
      </w:tr>
      <w:tr>
        <w:tc>
          <w:tcPr>
            <w:tcW w:type="dxa" w:w="2880"/>
          </w:tcPr>
          <w:p>
            <w:r>
              <w:t>- Traslado inmediato del producto deshidratado al área de enfriamiento.</w:t>
              <w:br/>
              <w:t>- Enfriamiento en túneles o cámaras de aire forzado.</w:t>
              <w:br/>
              <w:t>- Monitoreo de la temperatura del producto (objetivo: ≤ 30 °C antes de envasado).</w:t>
              <w:br/>
              <w:t>- Prevención de condensación superficial.</w:t>
              <w:br/>
              <w:t>- Registro de temperatura y tiempo de enfriamiento.</w:t>
            </w:r>
          </w:p>
        </w:tc>
        <w:tc>
          <w:tcPr>
            <w:tcW w:type="dxa" w:w="2880"/>
          </w:tcPr>
          <w:p>
            <w:r>
              <w:t>- Área cerrada con aire frío forzado (15–20 °C).</w:t>
              <w:br/>
              <w:t>- Ventilación de 10–15 ACH con filtración MERV 13 o superior.</w:t>
              <w:br/>
              <w:t>- Humedad relativa controlada (≤ 60%) para evitar rehidratación.</w:t>
              <w:br/>
              <w:t>- Superficies de acero inoxidable o material grado alimenticio.</w:t>
              <w:br/>
              <w:t>- Monitoreo continuo de temperatura y humedad.</w:t>
              <w:br/>
              <w:t>- Iluminación adecuada y protegida.</w:t>
            </w:r>
          </w:p>
        </w:tc>
        <w:tc>
          <w:tcPr>
            <w:tcW w:type="dxa" w:w="2880"/>
          </w:tcPr>
          <w:p>
            <w:r>
              <w:t>- Codex Alimentarius CAC/RCP 1-1969 (Rev. 2022) – General Principles of Food Hygiene.</w:t>
              <w:br/>
              <w:t>- Codex CAC/RCP 5-2004 – Code of Hygienic Practice for Low-Moisture Foods.</w:t>
              <w:br/>
              <w:t>- FDA 21 CFR 117 (cGMP).</w:t>
              <w:br/>
              <w:t>- ISO 22000:2018 – Food Safety Management Systems.</w:t>
              <w:br/>
              <w:t>- ISO/TS 22002-1:2009 – Prerequisite programs on food safety (Part 1: Food manufacturing).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