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5: Pelar y cortar</w:t>
      </w:r>
    </w:p>
    <w:p>
      <w:pPr>
        <w:pStyle w:val="Heading2"/>
      </w:pPr>
      <w:r>
        <w:t>1. Objetivo</w:t>
      </w:r>
    </w:p>
    <w:p>
      <w:r>
        <w:t>Retirar la piel no comestible y realizar cortes uniformes en las frutas, optimizando el tamaño y la forma para el proceso de deshidratación, manteniendo la calidad y seguridad del producto.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Pelado manual o mecánico de la fruta.</w:t>
              <w:br/>
              <w:t>- Corte en rodajas, cubos o formas según especificación.</w:t>
              <w:br/>
              <w:t>- Uso de cuchillos, peladoras o cortadoras de acero inoxidable.</w:t>
              <w:br/>
              <w:t>- Recolección de subproductos o desechos en contenedores higiénicos.</w:t>
              <w:br/>
              <w:t>- Registro de lotes procesados.</w:t>
            </w:r>
          </w:p>
        </w:tc>
        <w:tc>
          <w:tcPr>
            <w:tcW w:type="dxa" w:w="2880"/>
          </w:tcPr>
          <w:p>
            <w:r>
              <w:t>- Área cerrada, limpia y con superficies sanitarias (acero inoxidable).</w:t>
              <w:br/>
              <w:t>- Ventilación de 8–12 ACH con filtración MERV 11–13.</w:t>
              <w:br/>
              <w:t>- Temperatura ambiente controlada (15–20 °C) para evitar proliferación microbiana.</w:t>
              <w:br/>
              <w:t>- Iluminación adecuada (mín. 500 lux).</w:t>
              <w:br/>
              <w:t>- Estaciones de lavado de manos y desinfección de utensilios.</w:t>
              <w:br/>
              <w:t>- No requiere refrigeración en esta etapa.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53-2003 – Code of Hygienic Practice for Fresh Fruits and Vegetables.</w:t>
              <w:br/>
              <w:t>- FDA 21 CFR 117 (cGMP).</w:t>
              <w:br/>
              <w:t>- ISO 22000:2018 – Food Safety Management Systems.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