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4: Selección</w:t>
      </w:r>
    </w:p>
    <w:p>
      <w:pPr>
        <w:pStyle w:val="Heading2"/>
      </w:pPr>
      <w:r>
        <w:t>1. Objetivo</w:t>
      </w:r>
    </w:p>
    <w:p>
      <w:r>
        <w:t>Garantizar que únicamente las frutas en buen estado, con la madurez adecuada y libres de defectos visibles, pasen a las siguientes etapas del proceso de deshidratación.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Inspección visual de cada fruta.</w:t>
              <w:br/>
              <w:t>- Clasificación por tamaño, color, madurez y ausencia de daños.</w:t>
              <w:br/>
              <w:t>- Retiro de frutas dañadas, sobremaduras o con contaminación visible.</w:t>
              <w:br/>
              <w:t>- Uso de mesas de inspección con iluminación adecuada.</w:t>
              <w:br/>
              <w:t>- Registro de lotes aceptados y rechazados.</w:t>
            </w:r>
          </w:p>
        </w:tc>
        <w:tc>
          <w:tcPr>
            <w:tcW w:type="dxa" w:w="2880"/>
          </w:tcPr>
          <w:p>
            <w:r>
              <w:t>- Área cerrada, limpia y protegida contra plagas.</w:t>
              <w:br/>
              <w:t>- Superficies de contacto en acero inoxidable o material grado alimenticio.</w:t>
              <w:br/>
              <w:t>- Ventilación con 8–12 ACH y filtración MERV 8–11.</w:t>
              <w:br/>
              <w:t>- No requiere refrigeración.</w:t>
              <w:br/>
              <w:t>- Iluminación intensa (mín. 500 lux) para inspección visual.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53-2003 – Code of Hygienic Practice for Fresh Fruits and Vegetables.</w:t>
              <w:br/>
              <w:t>- FDA 21 CFR 117 (cGMP).</w:t>
              <w:br/>
              <w:t>- ISO 22000:2018 – Food Safety Management Systems.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