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Etapa 1: Recepción de Frutas</w:t>
      </w:r>
    </w:p>
    <w:p>
      <w:pPr>
        <w:pStyle w:val="Heading2"/>
      </w:pPr>
      <w:r>
        <w:t>1. Objetivo</w:t>
      </w:r>
    </w:p>
    <w:p>
      <w:r>
        <w:t>Describir la finalidad de la etapa de recepción de la materia prima, asegurando que la fruta ingresada cumpla con requisitos de calidad, trazabilidad e inocuidad, conforme a normas internacionales.</w:t>
      </w:r>
    </w:p>
    <w:p>
      <w:pPr>
        <w:pStyle w:val="Heading2"/>
      </w:pPr>
      <w:r>
        <w:t>2. Detalle de la Etapa en Categorías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Procesos</w:t>
            </w:r>
          </w:p>
        </w:tc>
        <w:tc>
          <w:tcPr>
            <w:tcW w:type="dxa" w:w="2880"/>
          </w:tcPr>
          <w:p>
            <w:r>
              <w:t>Requisitos ambientales</w:t>
            </w:r>
          </w:p>
        </w:tc>
        <w:tc>
          <w:tcPr>
            <w:tcW w:type="dxa" w:w="2880"/>
          </w:tcPr>
          <w:p>
            <w:r>
              <w:t>Normativa</w:t>
            </w:r>
          </w:p>
        </w:tc>
      </w:tr>
      <w:tr>
        <w:tc>
          <w:tcPr>
            <w:tcW w:type="dxa" w:w="2880"/>
          </w:tcPr>
          <w:p>
            <w:r>
              <w:t>- Verificación de guías de remisión y documentación del proveedor.</w:t>
              <w:br/>
              <w:t>- Inspección visual de la fruta para identificar daños, contaminaciones o defectos.</w:t>
              <w:br/>
              <w:t>- Pesaje y registro de lotes en el sistema de trazabilidad.</w:t>
              <w:br/>
              <w:t>- Aprobación o rechazo del lote según especificaciones técnicas.</w:t>
            </w:r>
          </w:p>
        </w:tc>
        <w:tc>
          <w:tcPr>
            <w:tcW w:type="dxa" w:w="2880"/>
          </w:tcPr>
          <w:p>
            <w:r>
              <w:t>- Área cerrada y techada, protegida de polvo, plagas y condiciones climáticas externas.</w:t>
              <w:br/>
              <w:t>- Ventilación mecánica con 5–10 renovaciones de aire por hora (ACH).</w:t>
              <w:br/>
              <w:t>- Aire filtrado con filtros G4–M5 (ISO coarse / ISO ePM10).</w:t>
              <w:br/>
              <w:t>- Superficies de fácil limpieza y desinfección (Codex Alimentarius CAC/RCP 1-1969).</w:t>
              <w:br/>
              <w:t>- No requiere refrigeración si la fruta pasa directamente a lavado.</w:t>
            </w:r>
          </w:p>
        </w:tc>
        <w:tc>
          <w:tcPr>
            <w:tcW w:type="dxa" w:w="2880"/>
          </w:tcPr>
          <w:p>
            <w:r>
              <w:t>- Codex Alimentarius CAC/RCP 53-2003 – Code of Hygienic Practice for Fresh Fruits and Vegetables.</w:t>
              <w:br/>
              <w:t>- Codex CAC/RCP 1-1969 (Rev. 2022) – General Principles of Food Hygiene.</w:t>
              <w:br/>
              <w:t>- FDA 21 CFR 117 (cGMP).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