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4FAE" w14:textId="4502281F" w:rsidR="0083490B" w:rsidRPr="0083490B" w:rsidRDefault="0083490B" w:rsidP="0083490B">
      <w:pPr>
        <w:spacing w:before="100" w:beforeAutospacing="1" w:after="100" w:afterAutospacing="1" w:line="240" w:lineRule="auto"/>
        <w:jc w:val="both"/>
        <w:outlineLvl w:val="1"/>
        <w:rPr>
          <w:rFonts w:eastAsia="Times New Roman" w:cstheme="minorHAnsi"/>
          <w:b/>
          <w:bCs/>
          <w:sz w:val="24"/>
          <w:szCs w:val="24"/>
          <w:lang w:eastAsia="es-PE"/>
        </w:rPr>
      </w:pPr>
      <w:r w:rsidRPr="0083490B">
        <w:rPr>
          <w:rFonts w:eastAsia="Times New Roman" w:cstheme="minorHAnsi"/>
          <w:b/>
          <w:bCs/>
          <w:sz w:val="24"/>
          <w:szCs w:val="24"/>
          <w:lang w:eastAsia="es-PE"/>
        </w:rPr>
        <w:t xml:space="preserve">0. </w:t>
      </w:r>
      <w:r w:rsidRPr="0083490B">
        <w:rPr>
          <w:rFonts w:eastAsia="Times New Roman" w:cstheme="minorHAnsi"/>
          <w:b/>
          <w:bCs/>
          <w:sz w:val="24"/>
          <w:szCs w:val="24"/>
          <w:lang w:eastAsia="es-PE"/>
        </w:rPr>
        <w:t>Resumen general del documento</w:t>
      </w:r>
    </w:p>
    <w:p w14:paraId="793DB913" w14:textId="77777777" w:rsidR="0083490B" w:rsidRPr="0083490B" w:rsidRDefault="0083490B" w:rsidP="0083490B">
      <w:p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Este informe, elaborado en el marco del Proceso de Educación ASEM, ofrece una visión estratégica sobre las nuevas tendencias en la educación superior en Europa, destacando cómo las universidades europeas están respondiendo a los desafíos de la globalización, la digitalización, los cambios demográficos y las expectativas sociales. El documento se estructura en seis capítulos, cada uno de los cuales identifica y analiza tendencias clave. A lo largo del texto se enfatiza la importancia de la cooperación Asia-Europa, el aseguramiento de la calidad, la empleabilidad, la inclusión social y la transformación digital.</w:t>
      </w:r>
    </w:p>
    <w:p w14:paraId="1BFC7158" w14:textId="77777777" w:rsidR="0083490B" w:rsidRPr="0083490B" w:rsidRDefault="0083490B" w:rsidP="0083490B">
      <w:pPr>
        <w:spacing w:before="100" w:beforeAutospacing="1" w:after="100" w:afterAutospacing="1" w:line="240" w:lineRule="auto"/>
        <w:jc w:val="both"/>
        <w:outlineLvl w:val="2"/>
        <w:rPr>
          <w:rFonts w:eastAsia="Times New Roman" w:cstheme="minorHAnsi"/>
          <w:b/>
          <w:bCs/>
          <w:sz w:val="24"/>
          <w:szCs w:val="24"/>
          <w:lang w:eastAsia="es-PE"/>
        </w:rPr>
      </w:pPr>
      <w:r w:rsidRPr="0083490B">
        <w:rPr>
          <w:rFonts w:eastAsia="Times New Roman" w:cstheme="minorHAnsi"/>
          <w:b/>
          <w:bCs/>
          <w:sz w:val="24"/>
          <w:szCs w:val="24"/>
          <w:lang w:eastAsia="es-PE"/>
        </w:rPr>
        <w:t>1. Diversificación de Misiones y Responsabilidades de la Educación Superior</w:t>
      </w:r>
    </w:p>
    <w:p w14:paraId="3E94EBA6" w14:textId="77777777" w:rsidR="0083490B" w:rsidRPr="0083490B" w:rsidRDefault="0083490B" w:rsidP="0083490B">
      <w:pPr>
        <w:numPr>
          <w:ilvl w:val="0"/>
          <w:numId w:val="1"/>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 xml:space="preserve">Las universidades están ampliando sus misiones tradicionales (enseñanza e investigación) para incluir un </w:t>
      </w:r>
      <w:r w:rsidRPr="0083490B">
        <w:rPr>
          <w:rFonts w:eastAsia="Times New Roman" w:cstheme="minorHAnsi"/>
          <w:b/>
          <w:bCs/>
          <w:sz w:val="24"/>
          <w:szCs w:val="24"/>
          <w:lang w:eastAsia="es-PE"/>
        </w:rPr>
        <w:t>mayor compromiso social y desarrollo regional</w:t>
      </w:r>
      <w:r w:rsidRPr="0083490B">
        <w:rPr>
          <w:rFonts w:eastAsia="Times New Roman" w:cstheme="minorHAnsi"/>
          <w:sz w:val="24"/>
          <w:szCs w:val="24"/>
          <w:lang w:eastAsia="es-PE"/>
        </w:rPr>
        <w:t>.</w:t>
      </w:r>
    </w:p>
    <w:p w14:paraId="72211F5C" w14:textId="77777777" w:rsidR="0083490B" w:rsidRPr="0083490B" w:rsidRDefault="0083490B" w:rsidP="0083490B">
      <w:pPr>
        <w:numPr>
          <w:ilvl w:val="0"/>
          <w:numId w:val="1"/>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 xml:space="preserve">Se destaca la función de “tercera misión” enfocada en el impacto social y económico: </w:t>
      </w:r>
      <w:r w:rsidRPr="0083490B">
        <w:rPr>
          <w:rFonts w:eastAsia="Times New Roman" w:cstheme="minorHAnsi"/>
          <w:i/>
          <w:iCs/>
          <w:sz w:val="24"/>
          <w:szCs w:val="24"/>
          <w:lang w:eastAsia="es-PE"/>
        </w:rPr>
        <w:t>“</w:t>
      </w:r>
      <w:proofErr w:type="spellStart"/>
      <w:r w:rsidRPr="0083490B">
        <w:rPr>
          <w:rFonts w:eastAsia="Times New Roman" w:cstheme="minorHAnsi"/>
          <w:i/>
          <w:iCs/>
          <w:sz w:val="24"/>
          <w:szCs w:val="24"/>
          <w:lang w:eastAsia="es-PE"/>
        </w:rPr>
        <w:t>Universities</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have</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become</w:t>
      </w:r>
      <w:proofErr w:type="spellEnd"/>
      <w:r w:rsidRPr="0083490B">
        <w:rPr>
          <w:rFonts w:eastAsia="Times New Roman" w:cstheme="minorHAnsi"/>
          <w:i/>
          <w:iCs/>
          <w:sz w:val="24"/>
          <w:szCs w:val="24"/>
          <w:lang w:eastAsia="es-PE"/>
        </w:rPr>
        <w:t xml:space="preserve"> more </w:t>
      </w:r>
      <w:proofErr w:type="spellStart"/>
      <w:r w:rsidRPr="0083490B">
        <w:rPr>
          <w:rFonts w:eastAsia="Times New Roman" w:cstheme="minorHAnsi"/>
          <w:i/>
          <w:iCs/>
          <w:sz w:val="24"/>
          <w:szCs w:val="24"/>
          <w:lang w:eastAsia="es-PE"/>
        </w:rPr>
        <w:t>engaged</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with</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their</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regions</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cities</w:t>
      </w:r>
      <w:proofErr w:type="spellEnd"/>
      <w:r w:rsidRPr="0083490B">
        <w:rPr>
          <w:rFonts w:eastAsia="Times New Roman" w:cstheme="minorHAnsi"/>
          <w:i/>
          <w:iCs/>
          <w:sz w:val="24"/>
          <w:szCs w:val="24"/>
          <w:lang w:eastAsia="es-PE"/>
        </w:rPr>
        <w:t xml:space="preserve"> and </w:t>
      </w:r>
      <w:proofErr w:type="spellStart"/>
      <w:r w:rsidRPr="0083490B">
        <w:rPr>
          <w:rFonts w:eastAsia="Times New Roman" w:cstheme="minorHAnsi"/>
          <w:i/>
          <w:iCs/>
          <w:sz w:val="24"/>
          <w:szCs w:val="24"/>
          <w:lang w:eastAsia="es-PE"/>
        </w:rPr>
        <w:t>communities</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moving</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beyond</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traditional</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academic</w:t>
      </w:r>
      <w:proofErr w:type="spellEnd"/>
      <w:r w:rsidRPr="0083490B">
        <w:rPr>
          <w:rFonts w:eastAsia="Times New Roman" w:cstheme="minorHAnsi"/>
          <w:i/>
          <w:iCs/>
          <w:sz w:val="24"/>
          <w:szCs w:val="24"/>
          <w:lang w:eastAsia="es-PE"/>
        </w:rPr>
        <w:t xml:space="preserve"> roles</w:t>
      </w:r>
      <w:proofErr w:type="gramStart"/>
      <w:r w:rsidRPr="0083490B">
        <w:rPr>
          <w:rFonts w:eastAsia="Times New Roman" w:cstheme="minorHAnsi"/>
          <w:i/>
          <w:iCs/>
          <w:sz w:val="24"/>
          <w:szCs w:val="24"/>
          <w:lang w:eastAsia="es-PE"/>
        </w:rPr>
        <w:t>”</w:t>
      </w:r>
      <w:r w:rsidRPr="0083490B">
        <w:rPr>
          <w:rFonts w:eastAsia="Times New Roman" w:cstheme="minorHAnsi"/>
          <w:sz w:val="24"/>
          <w:szCs w:val="24"/>
          <w:lang w:eastAsia="es-PE"/>
        </w:rPr>
        <w:t xml:space="preserve"> .</w:t>
      </w:r>
      <w:proofErr w:type="gramEnd"/>
    </w:p>
    <w:p w14:paraId="7BBD0760" w14:textId="77777777" w:rsidR="0083490B" w:rsidRPr="0083490B" w:rsidRDefault="0083490B" w:rsidP="0083490B">
      <w:pPr>
        <w:numPr>
          <w:ilvl w:val="0"/>
          <w:numId w:val="1"/>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La diversidad institucional también crece, permitiendo sistemas más diferenciados que se adaptan a necesidades locales y globales.</w:t>
      </w:r>
    </w:p>
    <w:p w14:paraId="1DD0F0ED" w14:textId="77777777" w:rsidR="0083490B" w:rsidRPr="0083490B" w:rsidRDefault="0083490B" w:rsidP="0083490B">
      <w:pPr>
        <w:spacing w:before="100" w:beforeAutospacing="1" w:after="100" w:afterAutospacing="1" w:line="240" w:lineRule="auto"/>
        <w:jc w:val="both"/>
        <w:outlineLvl w:val="2"/>
        <w:rPr>
          <w:rFonts w:eastAsia="Times New Roman" w:cstheme="minorHAnsi"/>
          <w:b/>
          <w:bCs/>
          <w:sz w:val="24"/>
          <w:szCs w:val="24"/>
          <w:lang w:eastAsia="es-PE"/>
        </w:rPr>
      </w:pPr>
      <w:r w:rsidRPr="0083490B">
        <w:rPr>
          <w:rFonts w:eastAsia="Times New Roman" w:cstheme="minorHAnsi"/>
          <w:b/>
          <w:bCs/>
          <w:sz w:val="24"/>
          <w:szCs w:val="24"/>
          <w:lang w:eastAsia="es-PE"/>
        </w:rPr>
        <w:t>2. Internacionalización: de la Movilidad a la Cooperación Integral</w:t>
      </w:r>
    </w:p>
    <w:p w14:paraId="73B78218" w14:textId="77777777" w:rsidR="0083490B" w:rsidRPr="0083490B" w:rsidRDefault="0083490B" w:rsidP="0083490B">
      <w:pPr>
        <w:numPr>
          <w:ilvl w:val="0"/>
          <w:numId w:val="2"/>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 xml:space="preserve">La internacionalización ya no se limita a la movilidad estudiantil, sino que incluye cooperación institucional, programas conjuntos y doble titulación: </w:t>
      </w:r>
      <w:r w:rsidRPr="0083490B">
        <w:rPr>
          <w:rFonts w:eastAsia="Times New Roman" w:cstheme="minorHAnsi"/>
          <w:i/>
          <w:iCs/>
          <w:sz w:val="24"/>
          <w:szCs w:val="24"/>
          <w:lang w:eastAsia="es-PE"/>
        </w:rPr>
        <w:t>“</w:t>
      </w:r>
      <w:proofErr w:type="spellStart"/>
      <w:r w:rsidRPr="0083490B">
        <w:rPr>
          <w:rFonts w:eastAsia="Times New Roman" w:cstheme="minorHAnsi"/>
          <w:i/>
          <w:iCs/>
          <w:sz w:val="24"/>
          <w:szCs w:val="24"/>
          <w:lang w:eastAsia="es-PE"/>
        </w:rPr>
        <w:t>Mobility</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remains</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important</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but</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internationalisation</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is</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increasingly</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embedded</w:t>
      </w:r>
      <w:proofErr w:type="spellEnd"/>
      <w:r w:rsidRPr="0083490B">
        <w:rPr>
          <w:rFonts w:eastAsia="Times New Roman" w:cstheme="minorHAnsi"/>
          <w:i/>
          <w:iCs/>
          <w:sz w:val="24"/>
          <w:szCs w:val="24"/>
          <w:lang w:eastAsia="es-PE"/>
        </w:rPr>
        <w:t xml:space="preserve"> in </w:t>
      </w:r>
      <w:proofErr w:type="spellStart"/>
      <w:r w:rsidRPr="0083490B">
        <w:rPr>
          <w:rFonts w:eastAsia="Times New Roman" w:cstheme="minorHAnsi"/>
          <w:i/>
          <w:iCs/>
          <w:sz w:val="24"/>
          <w:szCs w:val="24"/>
          <w:lang w:eastAsia="es-PE"/>
        </w:rPr>
        <w:t>curriculum</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development</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research</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cooperation</w:t>
      </w:r>
      <w:proofErr w:type="spellEnd"/>
      <w:r w:rsidRPr="0083490B">
        <w:rPr>
          <w:rFonts w:eastAsia="Times New Roman" w:cstheme="minorHAnsi"/>
          <w:i/>
          <w:iCs/>
          <w:sz w:val="24"/>
          <w:szCs w:val="24"/>
          <w:lang w:eastAsia="es-PE"/>
        </w:rPr>
        <w:t xml:space="preserve"> and </w:t>
      </w:r>
      <w:proofErr w:type="spellStart"/>
      <w:r w:rsidRPr="0083490B">
        <w:rPr>
          <w:rFonts w:eastAsia="Times New Roman" w:cstheme="minorHAnsi"/>
          <w:i/>
          <w:iCs/>
          <w:sz w:val="24"/>
          <w:szCs w:val="24"/>
          <w:lang w:eastAsia="es-PE"/>
        </w:rPr>
        <w:t>institutional</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strategies</w:t>
      </w:r>
      <w:proofErr w:type="spellEnd"/>
      <w:proofErr w:type="gramStart"/>
      <w:r w:rsidRPr="0083490B">
        <w:rPr>
          <w:rFonts w:eastAsia="Times New Roman" w:cstheme="minorHAnsi"/>
          <w:i/>
          <w:iCs/>
          <w:sz w:val="24"/>
          <w:szCs w:val="24"/>
          <w:lang w:eastAsia="es-PE"/>
        </w:rPr>
        <w:t>”</w:t>
      </w:r>
      <w:r w:rsidRPr="0083490B">
        <w:rPr>
          <w:rFonts w:eastAsia="Times New Roman" w:cstheme="minorHAnsi"/>
          <w:sz w:val="24"/>
          <w:szCs w:val="24"/>
          <w:lang w:eastAsia="es-PE"/>
        </w:rPr>
        <w:t xml:space="preserve"> .</w:t>
      </w:r>
      <w:proofErr w:type="gramEnd"/>
    </w:p>
    <w:p w14:paraId="6206D64B" w14:textId="77777777" w:rsidR="0083490B" w:rsidRPr="0083490B" w:rsidRDefault="0083490B" w:rsidP="0083490B">
      <w:pPr>
        <w:numPr>
          <w:ilvl w:val="0"/>
          <w:numId w:val="2"/>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Se promueve el aprendizaje intercultural y el reconocimiento mutuo de títulos en el espacio ASEM.</w:t>
      </w:r>
    </w:p>
    <w:p w14:paraId="3B57D396" w14:textId="77777777" w:rsidR="0083490B" w:rsidRPr="0083490B" w:rsidRDefault="0083490B" w:rsidP="0083490B">
      <w:pPr>
        <w:numPr>
          <w:ilvl w:val="0"/>
          <w:numId w:val="2"/>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Las estrategias nacionales de internacionalización varían, pero existe un interés común en promover la equidad y evitar la “fuga de cerebros”.</w:t>
      </w:r>
    </w:p>
    <w:p w14:paraId="335D0140" w14:textId="77777777" w:rsidR="0083490B" w:rsidRPr="0083490B" w:rsidRDefault="0083490B" w:rsidP="0083490B">
      <w:pPr>
        <w:spacing w:before="100" w:beforeAutospacing="1" w:after="100" w:afterAutospacing="1" w:line="240" w:lineRule="auto"/>
        <w:jc w:val="both"/>
        <w:outlineLvl w:val="2"/>
        <w:rPr>
          <w:rFonts w:eastAsia="Times New Roman" w:cstheme="minorHAnsi"/>
          <w:b/>
          <w:bCs/>
          <w:sz w:val="24"/>
          <w:szCs w:val="24"/>
          <w:lang w:eastAsia="es-PE"/>
        </w:rPr>
      </w:pPr>
      <w:r w:rsidRPr="0083490B">
        <w:rPr>
          <w:rFonts w:eastAsia="Times New Roman" w:cstheme="minorHAnsi"/>
          <w:b/>
          <w:bCs/>
          <w:sz w:val="24"/>
          <w:szCs w:val="24"/>
          <w:lang w:eastAsia="es-PE"/>
        </w:rPr>
        <w:t>3. Digitalización y Aprendizaje Abierto</w:t>
      </w:r>
    </w:p>
    <w:p w14:paraId="1205D356" w14:textId="77777777" w:rsidR="0083490B" w:rsidRPr="0083490B" w:rsidRDefault="0083490B" w:rsidP="0083490B">
      <w:pPr>
        <w:numPr>
          <w:ilvl w:val="0"/>
          <w:numId w:val="3"/>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 xml:space="preserve">La educación superior está experimentando una transformación digital acelerada con nuevas formas de enseñanza-aprendizaje: </w:t>
      </w:r>
      <w:r w:rsidRPr="0083490B">
        <w:rPr>
          <w:rFonts w:eastAsia="Times New Roman" w:cstheme="minorHAnsi"/>
          <w:i/>
          <w:iCs/>
          <w:sz w:val="24"/>
          <w:szCs w:val="24"/>
          <w:lang w:eastAsia="es-PE"/>
        </w:rPr>
        <w:t>“</w:t>
      </w:r>
      <w:proofErr w:type="spellStart"/>
      <w:r w:rsidRPr="0083490B">
        <w:rPr>
          <w:rFonts w:eastAsia="Times New Roman" w:cstheme="minorHAnsi"/>
          <w:i/>
          <w:iCs/>
          <w:sz w:val="24"/>
          <w:szCs w:val="24"/>
          <w:lang w:eastAsia="es-PE"/>
        </w:rPr>
        <w:t>Digitalisation</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transforms</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learning</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enabling</w:t>
      </w:r>
      <w:proofErr w:type="spellEnd"/>
      <w:r w:rsidRPr="0083490B">
        <w:rPr>
          <w:rFonts w:eastAsia="Times New Roman" w:cstheme="minorHAnsi"/>
          <w:i/>
          <w:iCs/>
          <w:sz w:val="24"/>
          <w:szCs w:val="24"/>
          <w:lang w:eastAsia="es-PE"/>
        </w:rPr>
        <w:t xml:space="preserve"> flexible </w:t>
      </w:r>
      <w:proofErr w:type="spellStart"/>
      <w:r w:rsidRPr="0083490B">
        <w:rPr>
          <w:rFonts w:eastAsia="Times New Roman" w:cstheme="minorHAnsi"/>
          <w:i/>
          <w:iCs/>
          <w:sz w:val="24"/>
          <w:szCs w:val="24"/>
          <w:lang w:eastAsia="es-PE"/>
        </w:rPr>
        <w:t>learning</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paths</w:t>
      </w:r>
      <w:proofErr w:type="spellEnd"/>
      <w:r w:rsidRPr="0083490B">
        <w:rPr>
          <w:rFonts w:eastAsia="Times New Roman" w:cstheme="minorHAnsi"/>
          <w:i/>
          <w:iCs/>
          <w:sz w:val="24"/>
          <w:szCs w:val="24"/>
          <w:lang w:eastAsia="es-PE"/>
        </w:rPr>
        <w:t xml:space="preserve">, online </w:t>
      </w:r>
      <w:proofErr w:type="spellStart"/>
      <w:r w:rsidRPr="0083490B">
        <w:rPr>
          <w:rFonts w:eastAsia="Times New Roman" w:cstheme="minorHAnsi"/>
          <w:i/>
          <w:iCs/>
          <w:sz w:val="24"/>
          <w:szCs w:val="24"/>
          <w:lang w:eastAsia="es-PE"/>
        </w:rPr>
        <w:t>provision</w:t>
      </w:r>
      <w:proofErr w:type="spellEnd"/>
      <w:r w:rsidRPr="0083490B">
        <w:rPr>
          <w:rFonts w:eastAsia="Times New Roman" w:cstheme="minorHAnsi"/>
          <w:i/>
          <w:iCs/>
          <w:sz w:val="24"/>
          <w:szCs w:val="24"/>
          <w:lang w:eastAsia="es-PE"/>
        </w:rPr>
        <w:t xml:space="preserve"> and new </w:t>
      </w:r>
      <w:proofErr w:type="spellStart"/>
      <w:r w:rsidRPr="0083490B">
        <w:rPr>
          <w:rFonts w:eastAsia="Times New Roman" w:cstheme="minorHAnsi"/>
          <w:i/>
          <w:iCs/>
          <w:sz w:val="24"/>
          <w:szCs w:val="24"/>
          <w:lang w:eastAsia="es-PE"/>
        </w:rPr>
        <w:t>modes</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of</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delivery</w:t>
      </w:r>
      <w:proofErr w:type="spellEnd"/>
      <w:proofErr w:type="gramStart"/>
      <w:r w:rsidRPr="0083490B">
        <w:rPr>
          <w:rFonts w:eastAsia="Times New Roman" w:cstheme="minorHAnsi"/>
          <w:i/>
          <w:iCs/>
          <w:sz w:val="24"/>
          <w:szCs w:val="24"/>
          <w:lang w:eastAsia="es-PE"/>
        </w:rPr>
        <w:t>”</w:t>
      </w:r>
      <w:r w:rsidRPr="0083490B">
        <w:rPr>
          <w:rFonts w:eastAsia="Times New Roman" w:cstheme="minorHAnsi"/>
          <w:sz w:val="24"/>
          <w:szCs w:val="24"/>
          <w:lang w:eastAsia="es-PE"/>
        </w:rPr>
        <w:t xml:space="preserve"> .</w:t>
      </w:r>
      <w:proofErr w:type="gramEnd"/>
    </w:p>
    <w:p w14:paraId="048950FA" w14:textId="77777777" w:rsidR="0083490B" w:rsidRPr="0083490B" w:rsidRDefault="0083490B" w:rsidP="0083490B">
      <w:pPr>
        <w:numPr>
          <w:ilvl w:val="0"/>
          <w:numId w:val="3"/>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 xml:space="preserve">Se reconoce el potencial de los </w:t>
      </w:r>
      <w:r w:rsidRPr="0083490B">
        <w:rPr>
          <w:rFonts w:eastAsia="Times New Roman" w:cstheme="minorHAnsi"/>
          <w:b/>
          <w:bCs/>
          <w:sz w:val="24"/>
          <w:szCs w:val="24"/>
          <w:lang w:eastAsia="es-PE"/>
        </w:rPr>
        <w:t>recursos educativos abiertos (OER)</w:t>
      </w:r>
      <w:r w:rsidRPr="0083490B">
        <w:rPr>
          <w:rFonts w:eastAsia="Times New Roman" w:cstheme="minorHAnsi"/>
          <w:sz w:val="24"/>
          <w:szCs w:val="24"/>
          <w:lang w:eastAsia="es-PE"/>
        </w:rPr>
        <w:t xml:space="preserve"> y los cursos en línea masivos (MOOC).</w:t>
      </w:r>
    </w:p>
    <w:p w14:paraId="22F44C48" w14:textId="77777777" w:rsidR="0083490B" w:rsidRPr="0083490B" w:rsidRDefault="0083490B" w:rsidP="0083490B">
      <w:pPr>
        <w:numPr>
          <w:ilvl w:val="0"/>
          <w:numId w:val="3"/>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La pandemia de COVID-19 aceleró estas tendencias, destacando la necesidad de mejorar la infraestructura tecnológica y las competencias digitales.</w:t>
      </w:r>
    </w:p>
    <w:p w14:paraId="111F283F" w14:textId="77777777" w:rsidR="0083490B" w:rsidRPr="0083490B" w:rsidRDefault="0083490B" w:rsidP="0083490B">
      <w:pPr>
        <w:spacing w:before="100" w:beforeAutospacing="1" w:after="100" w:afterAutospacing="1" w:line="240" w:lineRule="auto"/>
        <w:jc w:val="both"/>
        <w:outlineLvl w:val="2"/>
        <w:rPr>
          <w:rFonts w:eastAsia="Times New Roman" w:cstheme="minorHAnsi"/>
          <w:b/>
          <w:bCs/>
          <w:sz w:val="24"/>
          <w:szCs w:val="24"/>
          <w:lang w:eastAsia="es-PE"/>
        </w:rPr>
      </w:pPr>
      <w:r w:rsidRPr="0083490B">
        <w:rPr>
          <w:rFonts w:eastAsia="Times New Roman" w:cstheme="minorHAnsi"/>
          <w:b/>
          <w:bCs/>
          <w:sz w:val="24"/>
          <w:szCs w:val="24"/>
          <w:lang w:eastAsia="es-PE"/>
        </w:rPr>
        <w:t>4. Aseguramiento de la Calidad y Reconocimiento Mutuo</w:t>
      </w:r>
    </w:p>
    <w:p w14:paraId="7357B44D" w14:textId="77777777" w:rsidR="0083490B" w:rsidRPr="0083490B" w:rsidRDefault="0083490B" w:rsidP="0083490B">
      <w:pPr>
        <w:numPr>
          <w:ilvl w:val="0"/>
          <w:numId w:val="4"/>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lastRenderedPageBreak/>
        <w:t xml:space="preserve">Se señala la evolución de los sistemas de aseguramiento de calidad hacia modelos más centrados en la mejora continua, no solo en el control: </w:t>
      </w:r>
      <w:r w:rsidRPr="0083490B">
        <w:rPr>
          <w:rFonts w:eastAsia="Times New Roman" w:cstheme="minorHAnsi"/>
          <w:i/>
          <w:iCs/>
          <w:sz w:val="24"/>
          <w:szCs w:val="24"/>
          <w:lang w:eastAsia="es-PE"/>
        </w:rPr>
        <w:t>“</w:t>
      </w:r>
      <w:proofErr w:type="spellStart"/>
      <w:r w:rsidRPr="0083490B">
        <w:rPr>
          <w:rFonts w:eastAsia="Times New Roman" w:cstheme="minorHAnsi"/>
          <w:i/>
          <w:iCs/>
          <w:sz w:val="24"/>
          <w:szCs w:val="24"/>
          <w:lang w:eastAsia="es-PE"/>
        </w:rPr>
        <w:t>There</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is</w:t>
      </w:r>
      <w:proofErr w:type="spellEnd"/>
      <w:r w:rsidRPr="0083490B">
        <w:rPr>
          <w:rFonts w:eastAsia="Times New Roman" w:cstheme="minorHAnsi"/>
          <w:i/>
          <w:iCs/>
          <w:sz w:val="24"/>
          <w:szCs w:val="24"/>
          <w:lang w:eastAsia="es-PE"/>
        </w:rPr>
        <w:t xml:space="preserve"> a </w:t>
      </w:r>
      <w:proofErr w:type="spellStart"/>
      <w:r w:rsidRPr="0083490B">
        <w:rPr>
          <w:rFonts w:eastAsia="Times New Roman" w:cstheme="minorHAnsi"/>
          <w:i/>
          <w:iCs/>
          <w:sz w:val="24"/>
          <w:szCs w:val="24"/>
          <w:lang w:eastAsia="es-PE"/>
        </w:rPr>
        <w:t>trend</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towards</w:t>
      </w:r>
      <w:proofErr w:type="spellEnd"/>
      <w:r w:rsidRPr="0083490B">
        <w:rPr>
          <w:rFonts w:eastAsia="Times New Roman" w:cstheme="minorHAnsi"/>
          <w:i/>
          <w:iCs/>
          <w:sz w:val="24"/>
          <w:szCs w:val="24"/>
          <w:lang w:eastAsia="es-PE"/>
        </w:rPr>
        <w:t xml:space="preserve"> trust-</w:t>
      </w:r>
      <w:proofErr w:type="spellStart"/>
      <w:r w:rsidRPr="0083490B">
        <w:rPr>
          <w:rFonts w:eastAsia="Times New Roman" w:cstheme="minorHAnsi"/>
          <w:i/>
          <w:iCs/>
          <w:sz w:val="24"/>
          <w:szCs w:val="24"/>
          <w:lang w:eastAsia="es-PE"/>
        </w:rPr>
        <w:t>based</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enhancement</w:t>
      </w:r>
      <w:proofErr w:type="spellEnd"/>
      <w:r w:rsidRPr="0083490B">
        <w:rPr>
          <w:rFonts w:eastAsia="Times New Roman" w:cstheme="minorHAnsi"/>
          <w:i/>
          <w:iCs/>
          <w:sz w:val="24"/>
          <w:szCs w:val="24"/>
          <w:lang w:eastAsia="es-PE"/>
        </w:rPr>
        <w:t xml:space="preserve">-led </w:t>
      </w:r>
      <w:proofErr w:type="spellStart"/>
      <w:r w:rsidRPr="0083490B">
        <w:rPr>
          <w:rFonts w:eastAsia="Times New Roman" w:cstheme="minorHAnsi"/>
          <w:i/>
          <w:iCs/>
          <w:sz w:val="24"/>
          <w:szCs w:val="24"/>
          <w:lang w:eastAsia="es-PE"/>
        </w:rPr>
        <w:t>quality</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assurance</w:t>
      </w:r>
      <w:proofErr w:type="spellEnd"/>
      <w:proofErr w:type="gramStart"/>
      <w:r w:rsidRPr="0083490B">
        <w:rPr>
          <w:rFonts w:eastAsia="Times New Roman" w:cstheme="minorHAnsi"/>
          <w:i/>
          <w:iCs/>
          <w:sz w:val="24"/>
          <w:szCs w:val="24"/>
          <w:lang w:eastAsia="es-PE"/>
        </w:rPr>
        <w:t>”</w:t>
      </w:r>
      <w:r w:rsidRPr="0083490B">
        <w:rPr>
          <w:rFonts w:eastAsia="Times New Roman" w:cstheme="minorHAnsi"/>
          <w:sz w:val="24"/>
          <w:szCs w:val="24"/>
          <w:lang w:eastAsia="es-PE"/>
        </w:rPr>
        <w:t xml:space="preserve"> .</w:t>
      </w:r>
      <w:proofErr w:type="gramEnd"/>
    </w:p>
    <w:p w14:paraId="06ACEFC1" w14:textId="77777777" w:rsidR="0083490B" w:rsidRPr="0083490B" w:rsidRDefault="0083490B" w:rsidP="0083490B">
      <w:pPr>
        <w:numPr>
          <w:ilvl w:val="0"/>
          <w:numId w:val="4"/>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Se refuerzan los marcos de referencia comunes para facilitar el reconocimiento automático de estudios y cualificaciones en el área ASEM.</w:t>
      </w:r>
    </w:p>
    <w:p w14:paraId="3376634E" w14:textId="77777777" w:rsidR="0083490B" w:rsidRPr="0083490B" w:rsidRDefault="0083490B" w:rsidP="0083490B">
      <w:pPr>
        <w:numPr>
          <w:ilvl w:val="0"/>
          <w:numId w:val="4"/>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La cooperación en aseguramiento de calidad es clave para fortalecer la confianza entre países y avanzar en la convergencia internacional.</w:t>
      </w:r>
    </w:p>
    <w:p w14:paraId="5FCC76E8" w14:textId="77777777" w:rsidR="0083490B" w:rsidRPr="0083490B" w:rsidRDefault="0083490B" w:rsidP="0083490B">
      <w:pPr>
        <w:spacing w:before="100" w:beforeAutospacing="1" w:after="100" w:afterAutospacing="1" w:line="240" w:lineRule="auto"/>
        <w:jc w:val="both"/>
        <w:outlineLvl w:val="2"/>
        <w:rPr>
          <w:rFonts w:eastAsia="Times New Roman" w:cstheme="minorHAnsi"/>
          <w:b/>
          <w:bCs/>
          <w:sz w:val="24"/>
          <w:szCs w:val="24"/>
          <w:lang w:eastAsia="es-PE"/>
        </w:rPr>
      </w:pPr>
      <w:r w:rsidRPr="0083490B">
        <w:rPr>
          <w:rFonts w:eastAsia="Times New Roman" w:cstheme="minorHAnsi"/>
          <w:b/>
          <w:bCs/>
          <w:sz w:val="24"/>
          <w:szCs w:val="24"/>
          <w:lang w:eastAsia="es-PE"/>
        </w:rPr>
        <w:t>5. Empleabilidad, Educación Basada en Competencias y Aprendizaje a lo Largo de la Vida</w:t>
      </w:r>
    </w:p>
    <w:p w14:paraId="41FA9EBD" w14:textId="77777777" w:rsidR="0083490B" w:rsidRPr="0083490B" w:rsidRDefault="0083490B" w:rsidP="0083490B">
      <w:pPr>
        <w:numPr>
          <w:ilvl w:val="0"/>
          <w:numId w:val="5"/>
        </w:numPr>
        <w:spacing w:before="100" w:beforeAutospacing="1" w:after="100" w:afterAutospacing="1" w:line="240" w:lineRule="auto"/>
        <w:jc w:val="both"/>
        <w:rPr>
          <w:rFonts w:eastAsia="Times New Roman" w:cstheme="minorHAnsi"/>
          <w:sz w:val="24"/>
          <w:szCs w:val="24"/>
          <w:lang w:val="en-US" w:eastAsia="es-PE"/>
        </w:rPr>
      </w:pPr>
      <w:r w:rsidRPr="0083490B">
        <w:rPr>
          <w:rFonts w:eastAsia="Times New Roman" w:cstheme="minorHAnsi"/>
          <w:sz w:val="24"/>
          <w:szCs w:val="24"/>
          <w:lang w:eastAsia="es-PE"/>
        </w:rPr>
        <w:t xml:space="preserve">La empleabilidad es un objetivo transversal de las reformas educativas. </w:t>
      </w:r>
      <w:r w:rsidRPr="0083490B">
        <w:rPr>
          <w:rFonts w:eastAsia="Times New Roman" w:cstheme="minorHAnsi"/>
          <w:sz w:val="24"/>
          <w:szCs w:val="24"/>
          <w:lang w:val="en-US" w:eastAsia="es-PE"/>
        </w:rPr>
        <w:t xml:space="preserve">El </w:t>
      </w:r>
      <w:proofErr w:type="spellStart"/>
      <w:r w:rsidRPr="0083490B">
        <w:rPr>
          <w:rFonts w:eastAsia="Times New Roman" w:cstheme="minorHAnsi"/>
          <w:sz w:val="24"/>
          <w:szCs w:val="24"/>
          <w:lang w:val="en-US" w:eastAsia="es-PE"/>
        </w:rPr>
        <w:t>enfoque</w:t>
      </w:r>
      <w:proofErr w:type="spellEnd"/>
      <w:r w:rsidRPr="0083490B">
        <w:rPr>
          <w:rFonts w:eastAsia="Times New Roman" w:cstheme="minorHAnsi"/>
          <w:sz w:val="24"/>
          <w:szCs w:val="24"/>
          <w:lang w:val="en-US" w:eastAsia="es-PE"/>
        </w:rPr>
        <w:t xml:space="preserve"> por </w:t>
      </w:r>
      <w:proofErr w:type="spellStart"/>
      <w:r w:rsidRPr="0083490B">
        <w:rPr>
          <w:rFonts w:eastAsia="Times New Roman" w:cstheme="minorHAnsi"/>
          <w:sz w:val="24"/>
          <w:szCs w:val="24"/>
          <w:lang w:val="en-US" w:eastAsia="es-PE"/>
        </w:rPr>
        <w:t>competencias</w:t>
      </w:r>
      <w:proofErr w:type="spellEnd"/>
      <w:r w:rsidRPr="0083490B">
        <w:rPr>
          <w:rFonts w:eastAsia="Times New Roman" w:cstheme="minorHAnsi"/>
          <w:sz w:val="24"/>
          <w:szCs w:val="24"/>
          <w:lang w:val="en-US" w:eastAsia="es-PE"/>
        </w:rPr>
        <w:t xml:space="preserve"> es </w:t>
      </w:r>
      <w:proofErr w:type="spellStart"/>
      <w:r w:rsidRPr="0083490B">
        <w:rPr>
          <w:rFonts w:eastAsia="Times New Roman" w:cstheme="minorHAnsi"/>
          <w:sz w:val="24"/>
          <w:szCs w:val="24"/>
          <w:lang w:val="en-US" w:eastAsia="es-PE"/>
        </w:rPr>
        <w:t>prioritario</w:t>
      </w:r>
      <w:proofErr w:type="spellEnd"/>
      <w:r w:rsidRPr="0083490B">
        <w:rPr>
          <w:rFonts w:eastAsia="Times New Roman" w:cstheme="minorHAnsi"/>
          <w:sz w:val="24"/>
          <w:szCs w:val="24"/>
          <w:lang w:val="en-US" w:eastAsia="es-PE"/>
        </w:rPr>
        <w:t xml:space="preserve">: </w:t>
      </w:r>
      <w:r w:rsidRPr="0083490B">
        <w:rPr>
          <w:rFonts w:eastAsia="Times New Roman" w:cstheme="minorHAnsi"/>
          <w:i/>
          <w:iCs/>
          <w:sz w:val="24"/>
          <w:szCs w:val="24"/>
          <w:lang w:val="en-US" w:eastAsia="es-PE"/>
        </w:rPr>
        <w:t xml:space="preserve">“Competence-based education is essential to ensure that graduates are equipped for changing </w:t>
      </w:r>
      <w:proofErr w:type="spellStart"/>
      <w:r w:rsidRPr="0083490B">
        <w:rPr>
          <w:rFonts w:eastAsia="Times New Roman" w:cstheme="minorHAnsi"/>
          <w:i/>
          <w:iCs/>
          <w:sz w:val="24"/>
          <w:szCs w:val="24"/>
          <w:lang w:val="en-US" w:eastAsia="es-PE"/>
        </w:rPr>
        <w:t>labour</w:t>
      </w:r>
      <w:proofErr w:type="spellEnd"/>
      <w:r w:rsidRPr="0083490B">
        <w:rPr>
          <w:rFonts w:eastAsia="Times New Roman" w:cstheme="minorHAnsi"/>
          <w:i/>
          <w:iCs/>
          <w:sz w:val="24"/>
          <w:szCs w:val="24"/>
          <w:lang w:val="en-US" w:eastAsia="es-PE"/>
        </w:rPr>
        <w:t xml:space="preserve"> markets</w:t>
      </w:r>
      <w:proofErr w:type="gramStart"/>
      <w:r w:rsidRPr="0083490B">
        <w:rPr>
          <w:rFonts w:eastAsia="Times New Roman" w:cstheme="minorHAnsi"/>
          <w:i/>
          <w:iCs/>
          <w:sz w:val="24"/>
          <w:szCs w:val="24"/>
          <w:lang w:val="en-US" w:eastAsia="es-PE"/>
        </w:rPr>
        <w:t>”</w:t>
      </w:r>
      <w:r w:rsidRPr="0083490B">
        <w:rPr>
          <w:rFonts w:eastAsia="Times New Roman" w:cstheme="minorHAnsi"/>
          <w:sz w:val="24"/>
          <w:szCs w:val="24"/>
          <w:lang w:val="en-US" w:eastAsia="es-PE"/>
        </w:rPr>
        <w:t xml:space="preserve"> .</w:t>
      </w:r>
      <w:proofErr w:type="gramEnd"/>
    </w:p>
    <w:p w14:paraId="46A8872F" w14:textId="77777777" w:rsidR="0083490B" w:rsidRPr="0083490B" w:rsidRDefault="0083490B" w:rsidP="0083490B">
      <w:pPr>
        <w:numPr>
          <w:ilvl w:val="0"/>
          <w:numId w:val="5"/>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 xml:space="preserve">Se fomenta el aprendizaje a lo largo de la vida (LLL), promoviendo </w:t>
      </w:r>
      <w:proofErr w:type="spellStart"/>
      <w:r w:rsidRPr="0083490B">
        <w:rPr>
          <w:rFonts w:eastAsia="Times New Roman" w:cstheme="minorHAnsi"/>
          <w:sz w:val="24"/>
          <w:szCs w:val="24"/>
          <w:lang w:eastAsia="es-PE"/>
        </w:rPr>
        <w:t>microcredenciales</w:t>
      </w:r>
      <w:proofErr w:type="spellEnd"/>
      <w:r w:rsidRPr="0083490B">
        <w:rPr>
          <w:rFonts w:eastAsia="Times New Roman" w:cstheme="minorHAnsi"/>
          <w:sz w:val="24"/>
          <w:szCs w:val="24"/>
          <w:lang w:eastAsia="es-PE"/>
        </w:rPr>
        <w:t>, educación modular y trayectorias flexibles.</w:t>
      </w:r>
    </w:p>
    <w:p w14:paraId="4A56FDB3" w14:textId="77777777" w:rsidR="0083490B" w:rsidRPr="0083490B" w:rsidRDefault="0083490B" w:rsidP="0083490B">
      <w:pPr>
        <w:numPr>
          <w:ilvl w:val="0"/>
          <w:numId w:val="5"/>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Los vínculos universidad-empresa son fundamentales para la pertinencia de los programas y la inserción laboral de los egresados.</w:t>
      </w:r>
    </w:p>
    <w:p w14:paraId="064F9DE3" w14:textId="77777777" w:rsidR="0083490B" w:rsidRPr="0083490B" w:rsidRDefault="0083490B" w:rsidP="0083490B">
      <w:pPr>
        <w:spacing w:before="100" w:beforeAutospacing="1" w:after="100" w:afterAutospacing="1" w:line="240" w:lineRule="auto"/>
        <w:jc w:val="both"/>
        <w:outlineLvl w:val="2"/>
        <w:rPr>
          <w:rFonts w:eastAsia="Times New Roman" w:cstheme="minorHAnsi"/>
          <w:b/>
          <w:bCs/>
          <w:sz w:val="24"/>
          <w:szCs w:val="24"/>
          <w:lang w:eastAsia="es-PE"/>
        </w:rPr>
      </w:pPr>
      <w:r w:rsidRPr="0083490B">
        <w:rPr>
          <w:rFonts w:eastAsia="Times New Roman" w:cstheme="minorHAnsi"/>
          <w:b/>
          <w:bCs/>
          <w:sz w:val="24"/>
          <w:szCs w:val="24"/>
          <w:lang w:eastAsia="es-PE"/>
        </w:rPr>
        <w:t>6. Inclusión, Equidad y Participación Estudiantil</w:t>
      </w:r>
    </w:p>
    <w:p w14:paraId="3768C97C" w14:textId="77777777" w:rsidR="0083490B" w:rsidRPr="0083490B" w:rsidRDefault="0083490B" w:rsidP="0083490B">
      <w:pPr>
        <w:numPr>
          <w:ilvl w:val="0"/>
          <w:numId w:val="6"/>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 xml:space="preserve">La equidad es una preocupación central en las políticas de educación superior. Se promueven acciones para apoyar a </w:t>
      </w:r>
      <w:r w:rsidRPr="0083490B">
        <w:rPr>
          <w:rFonts w:eastAsia="Times New Roman" w:cstheme="minorHAnsi"/>
          <w:b/>
          <w:bCs/>
          <w:sz w:val="24"/>
          <w:szCs w:val="24"/>
          <w:lang w:eastAsia="es-PE"/>
        </w:rPr>
        <w:t>grupos subrepresentados y estudiantes de primera generación</w:t>
      </w:r>
      <w:r w:rsidRPr="0083490B">
        <w:rPr>
          <w:rFonts w:eastAsia="Times New Roman" w:cstheme="minorHAnsi"/>
          <w:sz w:val="24"/>
          <w:szCs w:val="24"/>
          <w:lang w:eastAsia="es-PE"/>
        </w:rPr>
        <w:t xml:space="preserve">: </w:t>
      </w:r>
      <w:r w:rsidRPr="0083490B">
        <w:rPr>
          <w:rFonts w:eastAsia="Times New Roman" w:cstheme="minorHAnsi"/>
          <w:i/>
          <w:iCs/>
          <w:sz w:val="24"/>
          <w:szCs w:val="24"/>
          <w:lang w:eastAsia="es-PE"/>
        </w:rPr>
        <w:t xml:space="preserve">“Social </w:t>
      </w:r>
      <w:proofErr w:type="spellStart"/>
      <w:r w:rsidRPr="0083490B">
        <w:rPr>
          <w:rFonts w:eastAsia="Times New Roman" w:cstheme="minorHAnsi"/>
          <w:i/>
          <w:iCs/>
          <w:sz w:val="24"/>
          <w:szCs w:val="24"/>
          <w:lang w:eastAsia="es-PE"/>
        </w:rPr>
        <w:t>dimension</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policies</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address</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access</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retention</w:t>
      </w:r>
      <w:proofErr w:type="spellEnd"/>
      <w:r w:rsidRPr="0083490B">
        <w:rPr>
          <w:rFonts w:eastAsia="Times New Roman" w:cstheme="minorHAnsi"/>
          <w:i/>
          <w:iCs/>
          <w:sz w:val="24"/>
          <w:szCs w:val="24"/>
          <w:lang w:eastAsia="es-PE"/>
        </w:rPr>
        <w:t xml:space="preserve"> and </w:t>
      </w:r>
      <w:proofErr w:type="spellStart"/>
      <w:r w:rsidRPr="0083490B">
        <w:rPr>
          <w:rFonts w:eastAsia="Times New Roman" w:cstheme="minorHAnsi"/>
          <w:i/>
          <w:iCs/>
          <w:sz w:val="24"/>
          <w:szCs w:val="24"/>
          <w:lang w:eastAsia="es-PE"/>
        </w:rPr>
        <w:t>completion</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for</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under-represented</w:t>
      </w:r>
      <w:proofErr w:type="spellEnd"/>
      <w:r w:rsidRPr="0083490B">
        <w:rPr>
          <w:rFonts w:eastAsia="Times New Roman" w:cstheme="minorHAnsi"/>
          <w:i/>
          <w:iCs/>
          <w:sz w:val="24"/>
          <w:szCs w:val="24"/>
          <w:lang w:eastAsia="es-PE"/>
        </w:rPr>
        <w:t xml:space="preserve"> </w:t>
      </w:r>
      <w:proofErr w:type="spellStart"/>
      <w:r w:rsidRPr="0083490B">
        <w:rPr>
          <w:rFonts w:eastAsia="Times New Roman" w:cstheme="minorHAnsi"/>
          <w:i/>
          <w:iCs/>
          <w:sz w:val="24"/>
          <w:szCs w:val="24"/>
          <w:lang w:eastAsia="es-PE"/>
        </w:rPr>
        <w:t>groups</w:t>
      </w:r>
      <w:proofErr w:type="spellEnd"/>
      <w:proofErr w:type="gramStart"/>
      <w:r w:rsidRPr="0083490B">
        <w:rPr>
          <w:rFonts w:eastAsia="Times New Roman" w:cstheme="minorHAnsi"/>
          <w:i/>
          <w:iCs/>
          <w:sz w:val="24"/>
          <w:szCs w:val="24"/>
          <w:lang w:eastAsia="es-PE"/>
        </w:rPr>
        <w:t>”</w:t>
      </w:r>
      <w:r w:rsidRPr="0083490B">
        <w:rPr>
          <w:rFonts w:eastAsia="Times New Roman" w:cstheme="minorHAnsi"/>
          <w:sz w:val="24"/>
          <w:szCs w:val="24"/>
          <w:lang w:eastAsia="es-PE"/>
        </w:rPr>
        <w:t xml:space="preserve"> .</w:t>
      </w:r>
      <w:proofErr w:type="gramEnd"/>
    </w:p>
    <w:p w14:paraId="4A06607B" w14:textId="77777777" w:rsidR="0083490B" w:rsidRPr="0083490B" w:rsidRDefault="0083490B" w:rsidP="0083490B">
      <w:pPr>
        <w:numPr>
          <w:ilvl w:val="0"/>
          <w:numId w:val="6"/>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La participación estudiantil se refuerza en la gobernanza institucional y en los procesos de aseguramiento de calidad.</w:t>
      </w:r>
    </w:p>
    <w:p w14:paraId="71B01EA1" w14:textId="77777777" w:rsidR="0083490B" w:rsidRPr="0083490B" w:rsidRDefault="0083490B" w:rsidP="0083490B">
      <w:pPr>
        <w:numPr>
          <w:ilvl w:val="0"/>
          <w:numId w:val="6"/>
        </w:numPr>
        <w:spacing w:before="100" w:beforeAutospacing="1" w:after="100" w:afterAutospacing="1" w:line="240" w:lineRule="auto"/>
        <w:jc w:val="both"/>
        <w:rPr>
          <w:rFonts w:eastAsia="Times New Roman" w:cstheme="minorHAnsi"/>
          <w:sz w:val="24"/>
          <w:szCs w:val="24"/>
          <w:lang w:eastAsia="es-PE"/>
        </w:rPr>
      </w:pPr>
      <w:r w:rsidRPr="0083490B">
        <w:rPr>
          <w:rFonts w:eastAsia="Times New Roman" w:cstheme="minorHAnsi"/>
          <w:sz w:val="24"/>
          <w:szCs w:val="24"/>
          <w:lang w:eastAsia="es-PE"/>
        </w:rPr>
        <w:t>La educación superior debe ser un agente de cohesión social y movilidad intergeneracional.</w:t>
      </w:r>
    </w:p>
    <w:p w14:paraId="3056D1DD" w14:textId="77777777" w:rsidR="004B25EC" w:rsidRPr="0083490B" w:rsidRDefault="004B25EC" w:rsidP="0083490B">
      <w:pPr>
        <w:jc w:val="both"/>
        <w:rPr>
          <w:rFonts w:cstheme="minorHAnsi"/>
          <w:sz w:val="24"/>
          <w:szCs w:val="24"/>
        </w:rPr>
      </w:pPr>
    </w:p>
    <w:sectPr w:rsidR="004B25EC" w:rsidRPr="0083490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C306" w14:textId="77777777" w:rsidR="001A56D5" w:rsidRDefault="001A56D5" w:rsidP="0083490B">
      <w:pPr>
        <w:spacing w:after="0" w:line="240" w:lineRule="auto"/>
      </w:pPr>
      <w:r>
        <w:separator/>
      </w:r>
    </w:p>
  </w:endnote>
  <w:endnote w:type="continuationSeparator" w:id="0">
    <w:p w14:paraId="3EF7DFBE" w14:textId="77777777" w:rsidR="001A56D5" w:rsidRDefault="001A56D5" w:rsidP="0083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9142" w14:textId="77777777" w:rsidR="001A56D5" w:rsidRDefault="001A56D5" w:rsidP="0083490B">
      <w:pPr>
        <w:spacing w:after="0" w:line="240" w:lineRule="auto"/>
      </w:pPr>
      <w:r>
        <w:separator/>
      </w:r>
    </w:p>
  </w:footnote>
  <w:footnote w:type="continuationSeparator" w:id="0">
    <w:p w14:paraId="17BDF56F" w14:textId="77777777" w:rsidR="001A56D5" w:rsidRDefault="001A56D5" w:rsidP="00834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8321" w14:textId="78083E92" w:rsidR="0083490B" w:rsidRPr="0083490B" w:rsidRDefault="0083490B" w:rsidP="0083490B">
    <w:pPr>
      <w:spacing w:before="100" w:beforeAutospacing="1" w:after="100" w:afterAutospacing="1" w:line="240" w:lineRule="auto"/>
      <w:jc w:val="center"/>
      <w:rPr>
        <w:rFonts w:eastAsia="Times New Roman" w:cstheme="minorHAnsi"/>
        <w:b/>
        <w:bCs/>
        <w:sz w:val="28"/>
        <w:szCs w:val="28"/>
        <w:lang w:val="en-US" w:eastAsia="es-PE"/>
      </w:rPr>
    </w:pPr>
    <w:r w:rsidRPr="0083490B">
      <w:rPr>
        <w:rFonts w:eastAsia="Times New Roman" w:cstheme="minorHAnsi"/>
        <w:b/>
        <w:bCs/>
        <w:sz w:val="28"/>
        <w:szCs w:val="28"/>
        <w:lang w:val="en-US" w:eastAsia="es-PE"/>
      </w:rPr>
      <w:t>RESUMEN DEL LIBRO “NEW TRENDS IN HIGHER EDUCATION IN EUROPE”</w:t>
    </w:r>
  </w:p>
  <w:p w14:paraId="152908C6" w14:textId="77777777" w:rsidR="0083490B" w:rsidRPr="0083490B" w:rsidRDefault="0083490B">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35CFB"/>
    <w:multiLevelType w:val="multilevel"/>
    <w:tmpl w:val="AD5E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A0B7C"/>
    <w:multiLevelType w:val="multilevel"/>
    <w:tmpl w:val="69BE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24504"/>
    <w:multiLevelType w:val="multilevel"/>
    <w:tmpl w:val="BA52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11623"/>
    <w:multiLevelType w:val="multilevel"/>
    <w:tmpl w:val="F562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B4E13"/>
    <w:multiLevelType w:val="multilevel"/>
    <w:tmpl w:val="E822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27692"/>
    <w:multiLevelType w:val="multilevel"/>
    <w:tmpl w:val="257C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0B"/>
    <w:rsid w:val="001A56D5"/>
    <w:rsid w:val="004B25EC"/>
    <w:rsid w:val="0083490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35DF"/>
  <w15:chartTrackingRefBased/>
  <w15:docId w15:val="{6A74F4A2-5015-4C9F-8A68-1784BB81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83490B"/>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83490B"/>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3490B"/>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83490B"/>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8349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83490B"/>
    <w:rPr>
      <w:i/>
      <w:iCs/>
    </w:rPr>
  </w:style>
  <w:style w:type="character" w:styleId="Textoennegrita">
    <w:name w:val="Strong"/>
    <w:basedOn w:val="Fuentedeprrafopredeter"/>
    <w:uiPriority w:val="22"/>
    <w:qFormat/>
    <w:rsid w:val="0083490B"/>
    <w:rPr>
      <w:b/>
      <w:bCs/>
    </w:rPr>
  </w:style>
  <w:style w:type="paragraph" w:styleId="Prrafodelista">
    <w:name w:val="List Paragraph"/>
    <w:basedOn w:val="Normal"/>
    <w:uiPriority w:val="34"/>
    <w:qFormat/>
    <w:rsid w:val="0083490B"/>
    <w:pPr>
      <w:ind w:left="720"/>
      <w:contextualSpacing/>
    </w:pPr>
  </w:style>
  <w:style w:type="paragraph" w:styleId="Encabezado">
    <w:name w:val="header"/>
    <w:basedOn w:val="Normal"/>
    <w:link w:val="EncabezadoCar"/>
    <w:uiPriority w:val="99"/>
    <w:unhideWhenUsed/>
    <w:rsid w:val="008349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490B"/>
  </w:style>
  <w:style w:type="paragraph" w:styleId="Piedepgina">
    <w:name w:val="footer"/>
    <w:basedOn w:val="Normal"/>
    <w:link w:val="PiedepginaCar"/>
    <w:uiPriority w:val="99"/>
    <w:unhideWhenUsed/>
    <w:rsid w:val="008349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619</Words>
  <Characters>3408</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INTELECTIA SAC</dc:creator>
  <cp:keywords/>
  <dc:description/>
  <cp:lastModifiedBy>INTELECTIA SAC</cp:lastModifiedBy>
  <cp:revision>1</cp:revision>
  <dcterms:created xsi:type="dcterms:W3CDTF">2025-07-24T13:53:00Z</dcterms:created>
  <dcterms:modified xsi:type="dcterms:W3CDTF">2025-07-24T14:00:00Z</dcterms:modified>
</cp:coreProperties>
</file>