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8C9F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Capítulo 1.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Governance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and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Financing</w:t>
      </w:r>
      <w:proofErr w:type="spellEnd"/>
    </w:p>
    <w:p w14:paraId="12207FB7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Tendencia: Gobernanza más diversificada y búsqueda de sostenibilidad financiera</w:t>
      </w:r>
    </w:p>
    <w:p w14:paraId="03D03BB1" w14:textId="77777777" w:rsidR="00AE520B" w:rsidRPr="00AE520B" w:rsidRDefault="00AE520B" w:rsidP="00AE52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En Europa, las universidades han adoptado un modelo de gobernanza más complejo que incluye múltiples partes interesadas, descentralización y rendición de cuentas.</w:t>
      </w:r>
    </w:p>
    <w:p w14:paraId="668EAF38" w14:textId="77777777" w:rsidR="00AE520B" w:rsidRPr="00AE520B" w:rsidRDefault="00AE520B" w:rsidP="00AE52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Hay una presión creciente por garantizar la autonomía institucional mientras se exige responsabilidad ante el Estado y la sociedad.</w:t>
      </w:r>
    </w:p>
    <w:p w14:paraId="0AE4E0D9" w14:textId="77777777" w:rsidR="00AE520B" w:rsidRPr="00AE520B" w:rsidRDefault="00AE520B" w:rsidP="00AE52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La </w:t>
      </w:r>
      <w:proofErr w:type="spellStart"/>
      <w:r w:rsidRPr="00AE520B">
        <w:rPr>
          <w:rFonts w:eastAsia="Times New Roman" w:cstheme="minorHAnsi"/>
          <w:sz w:val="24"/>
          <w:szCs w:val="24"/>
          <w:lang w:val="en-US" w:eastAsia="es-PE"/>
        </w:rPr>
        <w:t>financiación</w:t>
      </w:r>
      <w:proofErr w:type="spellEnd"/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 </w:t>
      </w:r>
      <w:proofErr w:type="spellStart"/>
      <w:r w:rsidRPr="00AE520B">
        <w:rPr>
          <w:rFonts w:eastAsia="Times New Roman" w:cstheme="minorHAnsi"/>
          <w:sz w:val="24"/>
          <w:szCs w:val="24"/>
          <w:lang w:val="en-US" w:eastAsia="es-PE"/>
        </w:rPr>
        <w:t>pública</w:t>
      </w:r>
      <w:proofErr w:type="spellEnd"/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 </w:t>
      </w:r>
      <w:proofErr w:type="spellStart"/>
      <w:r w:rsidRPr="00AE520B">
        <w:rPr>
          <w:rFonts w:eastAsia="Times New Roman" w:cstheme="minorHAnsi"/>
          <w:sz w:val="24"/>
          <w:szCs w:val="24"/>
          <w:lang w:val="en-US" w:eastAsia="es-PE"/>
        </w:rPr>
        <w:t>sigue</w:t>
      </w:r>
      <w:proofErr w:type="spellEnd"/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 </w:t>
      </w:r>
      <w:proofErr w:type="spellStart"/>
      <w:r w:rsidRPr="00AE520B">
        <w:rPr>
          <w:rFonts w:eastAsia="Times New Roman" w:cstheme="minorHAnsi"/>
          <w:sz w:val="24"/>
          <w:szCs w:val="24"/>
          <w:lang w:val="en-US" w:eastAsia="es-PE"/>
        </w:rPr>
        <w:t>siendo</w:t>
      </w:r>
      <w:proofErr w:type="spellEnd"/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 </w:t>
      </w:r>
      <w:proofErr w:type="spellStart"/>
      <w:r w:rsidRPr="00AE520B">
        <w:rPr>
          <w:rFonts w:eastAsia="Times New Roman" w:cstheme="minorHAnsi"/>
          <w:sz w:val="24"/>
          <w:szCs w:val="24"/>
          <w:lang w:val="en-US" w:eastAsia="es-PE"/>
        </w:rPr>
        <w:t>predominante</w:t>
      </w:r>
      <w:proofErr w:type="spellEnd"/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, </w:t>
      </w:r>
      <w:proofErr w:type="spellStart"/>
      <w:r w:rsidRPr="00AE520B">
        <w:rPr>
          <w:rFonts w:eastAsia="Times New Roman" w:cstheme="minorHAnsi"/>
          <w:sz w:val="24"/>
          <w:szCs w:val="24"/>
          <w:lang w:val="en-US" w:eastAsia="es-PE"/>
        </w:rPr>
        <w:t>pero</w:t>
      </w:r>
      <w:proofErr w:type="spellEnd"/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 </w:t>
      </w:r>
      <w:r w:rsidRPr="00AE520B">
        <w:rPr>
          <w:rFonts w:eastAsia="Times New Roman" w:cstheme="minorHAnsi"/>
          <w:b/>
          <w:bCs/>
          <w:sz w:val="24"/>
          <w:szCs w:val="24"/>
          <w:lang w:val="en-US" w:eastAsia="es-PE"/>
        </w:rPr>
        <w:t>"diversification of income sources, including tuition fees, competitive research funding and third-party contributions, is becoming a necessity"</w:t>
      </w:r>
      <w:r w:rsidRPr="00AE520B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09928EB8" w14:textId="77777777" w:rsidR="00AE520B" w:rsidRPr="00AE520B" w:rsidRDefault="00AE520B" w:rsidP="00AE52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Se observa un esfuerzo por conectar la financiación con el rendimiento (performance-</w:t>
      </w:r>
      <w:proofErr w:type="spellStart"/>
      <w:r w:rsidRPr="00AE520B">
        <w:rPr>
          <w:rFonts w:eastAsia="Times New Roman" w:cstheme="minorHAnsi"/>
          <w:sz w:val="24"/>
          <w:szCs w:val="24"/>
          <w:lang w:eastAsia="es-PE"/>
        </w:rPr>
        <w:t>based</w:t>
      </w:r>
      <w:proofErr w:type="spellEnd"/>
      <w:r w:rsidRPr="00AE520B">
        <w:rPr>
          <w:rFonts w:eastAsia="Times New Roman" w:cstheme="minorHAnsi"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sz w:val="24"/>
          <w:szCs w:val="24"/>
          <w:lang w:eastAsia="es-PE"/>
        </w:rPr>
        <w:t>funding</w:t>
      </w:r>
      <w:proofErr w:type="spellEnd"/>
      <w:r w:rsidRPr="00AE520B">
        <w:rPr>
          <w:rFonts w:eastAsia="Times New Roman" w:cstheme="minorHAnsi"/>
          <w:sz w:val="24"/>
          <w:szCs w:val="24"/>
          <w:lang w:eastAsia="es-PE"/>
        </w:rPr>
        <w:t>), lo que plantea retos sobre equidad y calidad.</w:t>
      </w:r>
    </w:p>
    <w:p w14:paraId="1F1C83E6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Capítulo 2. Access,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Equity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and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Diversity</w:t>
      </w:r>
      <w:proofErr w:type="spellEnd"/>
    </w:p>
    <w:p w14:paraId="23FCD331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Tendencia: Ampliación de la participación con énfasis en la inclusión</w:t>
      </w:r>
    </w:p>
    <w:p w14:paraId="353EC0F7" w14:textId="77777777" w:rsidR="00AE520B" w:rsidRPr="00AE520B" w:rsidRDefault="00AE520B" w:rsidP="00AE52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La expansión del acceso ha sido notable, pero persisten desigualdades. Se reconoce que “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access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without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success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is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not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enough</w:t>
      </w:r>
      <w:proofErr w:type="spellEnd"/>
      <w:r w:rsidRPr="00AE520B">
        <w:rPr>
          <w:rFonts w:eastAsia="Times New Roman" w:cstheme="minorHAnsi"/>
          <w:sz w:val="24"/>
          <w:szCs w:val="24"/>
          <w:lang w:eastAsia="es-PE"/>
        </w:rPr>
        <w:t>”.</w:t>
      </w:r>
    </w:p>
    <w:p w14:paraId="437D861E" w14:textId="77777777" w:rsidR="00AE520B" w:rsidRPr="00AE520B" w:rsidRDefault="00AE520B" w:rsidP="00AE52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Las políticas de equidad están evolucionando hacia enfoques interseccionales, considerando género, etnicidad, discapacidad y situación socioeconómica.</w:t>
      </w:r>
    </w:p>
    <w:p w14:paraId="418F0431" w14:textId="77777777" w:rsidR="00AE520B" w:rsidRPr="00AE520B" w:rsidRDefault="00AE520B" w:rsidP="00AE52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Aumenta el interés por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"inclusive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excellence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"</w:t>
      </w:r>
      <w:r w:rsidRPr="00AE520B">
        <w:rPr>
          <w:rFonts w:eastAsia="Times New Roman" w:cstheme="minorHAnsi"/>
          <w:sz w:val="24"/>
          <w:szCs w:val="24"/>
          <w:lang w:eastAsia="es-PE"/>
        </w:rPr>
        <w:t>, combinando equidad con calidad académica.</w:t>
      </w:r>
    </w:p>
    <w:p w14:paraId="26A096BB" w14:textId="77777777" w:rsidR="00AE520B" w:rsidRPr="00AE520B" w:rsidRDefault="00AE520B" w:rsidP="00AE52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Las instituciones están desarrollando estrategias específicas para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grupos infrarrepresentados</w:t>
      </w:r>
      <w:r w:rsidRPr="00AE520B">
        <w:rPr>
          <w:rFonts w:eastAsia="Times New Roman" w:cstheme="minorHAnsi"/>
          <w:sz w:val="24"/>
          <w:szCs w:val="24"/>
          <w:lang w:eastAsia="es-PE"/>
        </w:rPr>
        <w:t>, pero su impacto es aún desigual entre países.</w:t>
      </w:r>
    </w:p>
    <w:p w14:paraId="54E05E66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en-US" w:eastAsia="es-PE"/>
        </w:rPr>
      </w:pP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val="en-US" w:eastAsia="es-PE"/>
        </w:rPr>
        <w:t>Capítulo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val="en-US" w:eastAsia="es-PE"/>
        </w:rPr>
        <w:t xml:space="preserve"> 3. Teaching, Learning and Academic Staff</w:t>
      </w:r>
    </w:p>
    <w:p w14:paraId="3E923F9A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Tendencia: Evolución del rol docente y nuevas demandas pedagógicas</w:t>
      </w:r>
    </w:p>
    <w:p w14:paraId="0B9EDAE7" w14:textId="77777777" w:rsidR="00AE520B" w:rsidRPr="00AE520B" w:rsidRDefault="00AE520B" w:rsidP="00AE52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Se reconoce un cambio hacia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"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student-centred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and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competence-based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learning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"</w:t>
      </w:r>
      <w:r w:rsidRPr="00AE520B">
        <w:rPr>
          <w:rFonts w:eastAsia="Times New Roman" w:cstheme="minorHAnsi"/>
          <w:sz w:val="24"/>
          <w:szCs w:val="24"/>
          <w:lang w:eastAsia="es-PE"/>
        </w:rPr>
        <w:t>, en concordancia con el EEES.</w:t>
      </w:r>
    </w:p>
    <w:p w14:paraId="68408F3B" w14:textId="77777777" w:rsidR="00AE520B" w:rsidRPr="00AE520B" w:rsidRDefault="00AE520B" w:rsidP="00AE52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El rol del profesor se transforma en facilitador del aprendizaje, impulsando la necesidad de formación pedagógica continua.</w:t>
      </w:r>
    </w:p>
    <w:p w14:paraId="0FC3B6EF" w14:textId="77777777" w:rsidR="00AE520B" w:rsidRPr="00AE520B" w:rsidRDefault="00AE520B" w:rsidP="00AE52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Se enfatiza la integración de metodologías activas, evaluaciones auténticas y uso de tecnologías educativas.</w:t>
      </w:r>
    </w:p>
    <w:p w14:paraId="624DA2E6" w14:textId="77777777" w:rsidR="00AE520B" w:rsidRPr="00AE520B" w:rsidRDefault="00AE520B" w:rsidP="00AE52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Existe preocupación por el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“desequilibrio entre las expectativas de calidad y los contratos temporales o precarios del personal académico”</w:t>
      </w:r>
      <w:r w:rsidRPr="00AE520B">
        <w:rPr>
          <w:rFonts w:eastAsia="Times New Roman" w:cstheme="minorHAnsi"/>
          <w:sz w:val="24"/>
          <w:szCs w:val="24"/>
          <w:lang w:eastAsia="es-PE"/>
        </w:rPr>
        <w:t>.</w:t>
      </w:r>
    </w:p>
    <w:p w14:paraId="60422374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en-US" w:eastAsia="es-PE"/>
        </w:rPr>
      </w:pP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val="en-US" w:eastAsia="es-PE"/>
        </w:rPr>
        <w:t>Capítulo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val="en-US" w:eastAsia="es-PE"/>
        </w:rPr>
        <w:t xml:space="preserve"> 4. Student Body and Student Engagement</w:t>
      </w:r>
    </w:p>
    <w:p w14:paraId="645710B9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Tendencia: Estudiantes más diversos y exigencia de mayor participación institucional</w:t>
      </w:r>
    </w:p>
    <w:p w14:paraId="7B298583" w14:textId="77777777" w:rsidR="00AE520B" w:rsidRPr="00AE520B" w:rsidRDefault="00AE520B" w:rsidP="00AE52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lastRenderedPageBreak/>
        <w:t xml:space="preserve">Se promueve una visión del estudiante como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“active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partner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”</w:t>
      </w:r>
      <w:r w:rsidRPr="00AE520B">
        <w:rPr>
          <w:rFonts w:eastAsia="Times New Roman" w:cstheme="minorHAnsi"/>
          <w:sz w:val="24"/>
          <w:szCs w:val="24"/>
          <w:lang w:eastAsia="es-PE"/>
        </w:rPr>
        <w:t xml:space="preserve"> y no como receptor pasivo.</w:t>
      </w:r>
    </w:p>
    <w:p w14:paraId="02F3D98C" w14:textId="77777777" w:rsidR="00AE520B" w:rsidRPr="00AE520B" w:rsidRDefault="00AE520B" w:rsidP="00AE52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En varios países, los estudiantes participan formalmente en procesos de gobernanza, calidad y diseño curricular.</w:t>
      </w:r>
    </w:p>
    <w:p w14:paraId="5FED7326" w14:textId="77777777" w:rsidR="00AE520B" w:rsidRPr="00AE520B" w:rsidRDefault="00AE520B" w:rsidP="00AE52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Se observa una creciente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diversidad del cuerpo estudiantil</w:t>
      </w:r>
      <w:r w:rsidRPr="00AE520B">
        <w:rPr>
          <w:rFonts w:eastAsia="Times New Roman" w:cstheme="minorHAnsi"/>
          <w:sz w:val="24"/>
          <w:szCs w:val="24"/>
          <w:lang w:eastAsia="es-PE"/>
        </w:rPr>
        <w:t>, lo que obliga a las instituciones a repensar servicios de apoyo, orientación y formatos de enseñanza.</w:t>
      </w:r>
    </w:p>
    <w:p w14:paraId="336767DA" w14:textId="77777777" w:rsidR="00AE520B" w:rsidRPr="00AE520B" w:rsidRDefault="00AE520B" w:rsidP="00AE52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La participación estudiantil también se relaciona con el bienestar, especialmente tras la pandemia, donde los problemas de salud mental ganaron visibilidad.</w:t>
      </w:r>
    </w:p>
    <w:p w14:paraId="475CC8C7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Capítulo 5.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Internationalisation</w:t>
      </w:r>
      <w:proofErr w:type="spellEnd"/>
    </w:p>
    <w:p w14:paraId="4D8F66A4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Tendencia: Más allá de la movilidad: internacionalización del currículo y cooperación solidaria</w:t>
      </w:r>
    </w:p>
    <w:p w14:paraId="11616E15" w14:textId="77777777" w:rsidR="00AE520B" w:rsidRPr="00AE520B" w:rsidRDefault="00AE520B" w:rsidP="00AE520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Aunque la movilidad sigue siendo clave, hay una transición hacia modelos más integrales: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“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internationalisation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at home”</w:t>
      </w:r>
      <w:r w:rsidRPr="00AE520B">
        <w:rPr>
          <w:rFonts w:eastAsia="Times New Roman" w:cstheme="minorHAnsi"/>
          <w:sz w:val="24"/>
          <w:szCs w:val="24"/>
          <w:lang w:eastAsia="es-PE"/>
        </w:rPr>
        <w:t xml:space="preserve"> y virtual.</w:t>
      </w:r>
    </w:p>
    <w:p w14:paraId="61C8E090" w14:textId="77777777" w:rsidR="00AE520B" w:rsidRPr="00AE520B" w:rsidRDefault="00AE520B" w:rsidP="00AE520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El </w:t>
      </w:r>
      <w:proofErr w:type="spellStart"/>
      <w:r w:rsidRPr="00AE520B">
        <w:rPr>
          <w:rFonts w:eastAsia="Times New Roman" w:cstheme="minorHAnsi"/>
          <w:sz w:val="24"/>
          <w:szCs w:val="24"/>
          <w:lang w:val="en-US" w:eastAsia="es-PE"/>
        </w:rPr>
        <w:t>documento</w:t>
      </w:r>
      <w:proofErr w:type="spellEnd"/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 </w:t>
      </w:r>
      <w:proofErr w:type="spellStart"/>
      <w:r w:rsidRPr="00AE520B">
        <w:rPr>
          <w:rFonts w:eastAsia="Times New Roman" w:cstheme="minorHAnsi"/>
          <w:sz w:val="24"/>
          <w:szCs w:val="24"/>
          <w:lang w:val="en-US" w:eastAsia="es-PE"/>
        </w:rPr>
        <w:t>señala</w:t>
      </w:r>
      <w:proofErr w:type="spellEnd"/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 que: </w:t>
      </w:r>
      <w:r w:rsidRPr="00AE520B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“There is an increasing emphasis on curricula that prepare students to live and work in a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val="en-US" w:eastAsia="es-PE"/>
        </w:rPr>
        <w:t>globalised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val="en-US" w:eastAsia="es-PE"/>
        </w:rPr>
        <w:t>, interdependent and multicultural world”</w:t>
      </w:r>
      <w:r w:rsidRPr="00AE520B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725BD258" w14:textId="77777777" w:rsidR="00AE520B" w:rsidRPr="00AE520B" w:rsidRDefault="00AE520B" w:rsidP="00AE520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También se promueve la cooperación con países fuera de Europa, en especial mediante la cooperación Sur-Sur y proyectos multilaterales con impacto social.</w:t>
      </w:r>
    </w:p>
    <w:p w14:paraId="189C5E86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Capítulo 6.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Research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and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Innovation</w:t>
      </w:r>
      <w:proofErr w:type="spellEnd"/>
    </w:p>
    <w:p w14:paraId="41E30575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Tendencia: Investigación orientada a impacto social y misiones globales</w:t>
      </w:r>
    </w:p>
    <w:p w14:paraId="3D553DFC" w14:textId="77777777" w:rsidR="00AE520B" w:rsidRPr="00AE520B" w:rsidRDefault="00AE520B" w:rsidP="00AE520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Las universidades enfrentan el reto de combinar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excelencia científica</w:t>
      </w:r>
      <w:r w:rsidRPr="00AE520B">
        <w:rPr>
          <w:rFonts w:eastAsia="Times New Roman" w:cstheme="minorHAnsi"/>
          <w:sz w:val="24"/>
          <w:szCs w:val="24"/>
          <w:lang w:eastAsia="es-PE"/>
        </w:rPr>
        <w:t xml:space="preserve"> con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relevancia social</w:t>
      </w:r>
      <w:r w:rsidRPr="00AE520B">
        <w:rPr>
          <w:rFonts w:eastAsia="Times New Roman" w:cstheme="minorHAnsi"/>
          <w:sz w:val="24"/>
          <w:szCs w:val="24"/>
          <w:lang w:eastAsia="es-PE"/>
        </w:rPr>
        <w:t>.</w:t>
      </w:r>
    </w:p>
    <w:p w14:paraId="0A37B648" w14:textId="77777777" w:rsidR="00AE520B" w:rsidRPr="00AE520B" w:rsidRDefault="00AE520B" w:rsidP="00AE520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Se subraya la importancia de la ciencia abierta, la interdisciplinariedad y los ODS como marcos de orientación.</w:t>
      </w:r>
    </w:p>
    <w:p w14:paraId="16589172" w14:textId="77777777" w:rsidR="00AE520B" w:rsidRPr="00AE520B" w:rsidRDefault="00AE520B" w:rsidP="00AE520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La tendencia apunta a superar el modelo puramente competitivo por uno más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colaborativo y transdisciplinario</w:t>
      </w:r>
      <w:r w:rsidRPr="00AE520B">
        <w:rPr>
          <w:rFonts w:eastAsia="Times New Roman" w:cstheme="minorHAnsi"/>
          <w:sz w:val="24"/>
          <w:szCs w:val="24"/>
          <w:lang w:eastAsia="es-PE"/>
        </w:rPr>
        <w:t xml:space="preserve">: </w:t>
      </w:r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“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mission-oriented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research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aims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to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mobilise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all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actors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to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address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complex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 xml:space="preserve"> societal 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challenges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eastAsia="es-PE"/>
        </w:rPr>
        <w:t>”</w:t>
      </w:r>
      <w:r w:rsidRPr="00AE520B">
        <w:rPr>
          <w:rFonts w:eastAsia="Times New Roman" w:cstheme="minorHAnsi"/>
          <w:sz w:val="24"/>
          <w:szCs w:val="24"/>
          <w:lang w:eastAsia="es-PE"/>
        </w:rPr>
        <w:t>.</w:t>
      </w:r>
    </w:p>
    <w:p w14:paraId="7EC317EF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Capítulo 7.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Community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Engagement</w:t>
      </w:r>
      <w:proofErr w:type="spellEnd"/>
    </w:p>
    <w:p w14:paraId="1D7A3A31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Tendencia: Compromiso con la sociedad como tercera misión estructural</w:t>
      </w:r>
    </w:p>
    <w:p w14:paraId="751721C5" w14:textId="77777777" w:rsidR="00AE520B" w:rsidRPr="00AE520B" w:rsidRDefault="00AE520B" w:rsidP="00AE520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Las universidades buscan ser más permeables a su entorno local, no solo mediante extensión, sino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cocreando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conocimiento con la comunidad</w:t>
      </w:r>
      <w:r w:rsidRPr="00AE520B">
        <w:rPr>
          <w:rFonts w:eastAsia="Times New Roman" w:cstheme="minorHAnsi"/>
          <w:sz w:val="24"/>
          <w:szCs w:val="24"/>
          <w:lang w:eastAsia="es-PE"/>
        </w:rPr>
        <w:t>.</w:t>
      </w:r>
    </w:p>
    <w:p w14:paraId="137776B5" w14:textId="77777777" w:rsidR="00AE520B" w:rsidRPr="00AE520B" w:rsidRDefault="00AE520B" w:rsidP="00AE520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Se resalta la necesidad de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“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institutional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strategies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and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structures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to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support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engagement</w:t>
      </w:r>
      <w:proofErr w:type="spellEnd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”</w:t>
      </w:r>
      <w:r w:rsidRPr="00AE520B">
        <w:rPr>
          <w:rFonts w:eastAsia="Times New Roman" w:cstheme="minorHAnsi"/>
          <w:sz w:val="24"/>
          <w:szCs w:val="24"/>
          <w:lang w:eastAsia="es-PE"/>
        </w:rPr>
        <w:t>, ya que no basta con acciones dispersas.</w:t>
      </w:r>
    </w:p>
    <w:p w14:paraId="6911C635" w14:textId="77777777" w:rsidR="00AE520B" w:rsidRPr="00AE520B" w:rsidRDefault="00AE520B" w:rsidP="00AE520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El compromiso se redefine hacia modelos de impacto cívico, desarrollo regional y diálogo con múltiples actores sociales.</w:t>
      </w:r>
    </w:p>
    <w:p w14:paraId="639A1495" w14:textId="1903FAB5" w:rsidR="00AE520B" w:rsidRPr="00AE520B" w:rsidRDefault="00AE520B" w:rsidP="00AE520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lastRenderedPageBreak/>
        <w:t xml:space="preserve">Capítulo 8. Digital </w:t>
      </w:r>
      <w:proofErr w:type="spellStart"/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Transformation</w:t>
      </w:r>
      <w:proofErr w:type="spellEnd"/>
    </w:p>
    <w:p w14:paraId="29148287" w14:textId="77777777" w:rsidR="00AE520B" w:rsidRPr="00AE520B" w:rsidRDefault="00AE520B" w:rsidP="00AE520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Tendencia: Transformación digital estructural con visión estratégica</w:t>
      </w:r>
    </w:p>
    <w:p w14:paraId="12E04C30" w14:textId="77777777" w:rsidR="00AE520B" w:rsidRPr="00AE520B" w:rsidRDefault="00AE520B" w:rsidP="00AE520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>La digitalización va más allá del aprendizaje remoto: implica repensar todos los procesos institucionales, incluida la gobernanza.</w:t>
      </w:r>
    </w:p>
    <w:p w14:paraId="41D78A6E" w14:textId="77777777" w:rsidR="00AE520B" w:rsidRPr="00AE520B" w:rsidRDefault="00AE520B" w:rsidP="00AE520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Se </w:t>
      </w:r>
      <w:proofErr w:type="spellStart"/>
      <w:r w:rsidRPr="00AE520B">
        <w:rPr>
          <w:rFonts w:eastAsia="Times New Roman" w:cstheme="minorHAnsi"/>
          <w:sz w:val="24"/>
          <w:szCs w:val="24"/>
          <w:lang w:val="en-US" w:eastAsia="es-PE"/>
        </w:rPr>
        <w:t>enfatiza</w:t>
      </w:r>
      <w:proofErr w:type="spellEnd"/>
      <w:r w:rsidRPr="00AE520B">
        <w:rPr>
          <w:rFonts w:eastAsia="Times New Roman" w:cstheme="minorHAnsi"/>
          <w:sz w:val="24"/>
          <w:szCs w:val="24"/>
          <w:lang w:val="en-US" w:eastAsia="es-PE"/>
        </w:rPr>
        <w:t xml:space="preserve"> que: </w:t>
      </w:r>
      <w:r w:rsidRPr="00AE520B">
        <w:rPr>
          <w:rFonts w:eastAsia="Times New Roman" w:cstheme="minorHAnsi"/>
          <w:i/>
          <w:iCs/>
          <w:sz w:val="24"/>
          <w:szCs w:val="24"/>
          <w:lang w:val="en-US" w:eastAsia="es-PE"/>
        </w:rPr>
        <w:t>“</w:t>
      </w:r>
      <w:proofErr w:type="spellStart"/>
      <w:r w:rsidRPr="00AE520B">
        <w:rPr>
          <w:rFonts w:eastAsia="Times New Roman" w:cstheme="minorHAnsi"/>
          <w:i/>
          <w:iCs/>
          <w:sz w:val="24"/>
          <w:szCs w:val="24"/>
          <w:lang w:val="en-US" w:eastAsia="es-PE"/>
        </w:rPr>
        <w:t>Digitalisation</w:t>
      </w:r>
      <w:proofErr w:type="spellEnd"/>
      <w:r w:rsidRPr="00AE520B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 is not only a technological challenge but also a cultural, pedagogical and ethical one”</w:t>
      </w:r>
      <w:r w:rsidRPr="00AE520B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04E67242" w14:textId="77777777" w:rsidR="00AE520B" w:rsidRPr="00AE520B" w:rsidRDefault="00AE520B" w:rsidP="00AE520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La transformación digital debe estar guiada por principios de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inclusión digital</w:t>
      </w:r>
      <w:r w:rsidRPr="00AE520B">
        <w:rPr>
          <w:rFonts w:eastAsia="Times New Roman" w:cstheme="minorHAnsi"/>
          <w:sz w:val="24"/>
          <w:szCs w:val="24"/>
          <w:lang w:eastAsia="es-PE"/>
        </w:rPr>
        <w:t>, accesibilidad, protección de datos y sostenibilidad.</w:t>
      </w:r>
    </w:p>
    <w:p w14:paraId="17BA0EB8" w14:textId="77777777" w:rsidR="00AE520B" w:rsidRPr="00AE520B" w:rsidRDefault="00AE520B" w:rsidP="00AE520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520B">
        <w:rPr>
          <w:rFonts w:eastAsia="Times New Roman" w:cstheme="minorHAnsi"/>
          <w:sz w:val="24"/>
          <w:szCs w:val="24"/>
          <w:lang w:eastAsia="es-PE"/>
        </w:rPr>
        <w:t xml:space="preserve">Destaca también la preocupación por el </w:t>
      </w:r>
      <w:r w:rsidRPr="00AE520B">
        <w:rPr>
          <w:rFonts w:eastAsia="Times New Roman" w:cstheme="minorHAnsi"/>
          <w:b/>
          <w:bCs/>
          <w:sz w:val="24"/>
          <w:szCs w:val="24"/>
          <w:lang w:eastAsia="es-PE"/>
        </w:rPr>
        <w:t>“gap de capacidades digitales”</w:t>
      </w:r>
      <w:r w:rsidRPr="00AE520B">
        <w:rPr>
          <w:rFonts w:eastAsia="Times New Roman" w:cstheme="minorHAnsi"/>
          <w:sz w:val="24"/>
          <w:szCs w:val="24"/>
          <w:lang w:eastAsia="es-PE"/>
        </w:rPr>
        <w:t xml:space="preserve"> tanto en estudiantes como en docentes y gestores.</w:t>
      </w:r>
    </w:p>
    <w:p w14:paraId="5E7065D9" w14:textId="77777777" w:rsidR="004B25EC" w:rsidRPr="00AE520B" w:rsidRDefault="004B25EC" w:rsidP="00AE520B">
      <w:pPr>
        <w:jc w:val="both"/>
        <w:rPr>
          <w:rFonts w:cstheme="minorHAnsi"/>
          <w:sz w:val="24"/>
          <w:szCs w:val="24"/>
        </w:rPr>
      </w:pPr>
    </w:p>
    <w:sectPr w:rsidR="004B25EC" w:rsidRPr="00AE52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BE27" w14:textId="77777777" w:rsidR="00B54B6E" w:rsidRDefault="00B54B6E" w:rsidP="00AE520B">
      <w:pPr>
        <w:spacing w:after="0" w:line="240" w:lineRule="auto"/>
      </w:pPr>
      <w:r>
        <w:separator/>
      </w:r>
    </w:p>
  </w:endnote>
  <w:endnote w:type="continuationSeparator" w:id="0">
    <w:p w14:paraId="7C00B317" w14:textId="77777777" w:rsidR="00B54B6E" w:rsidRDefault="00B54B6E" w:rsidP="00AE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00D4" w14:textId="77777777" w:rsidR="00B54B6E" w:rsidRDefault="00B54B6E" w:rsidP="00AE520B">
      <w:pPr>
        <w:spacing w:after="0" w:line="240" w:lineRule="auto"/>
      </w:pPr>
      <w:r>
        <w:separator/>
      </w:r>
    </w:p>
  </w:footnote>
  <w:footnote w:type="continuationSeparator" w:id="0">
    <w:p w14:paraId="3FF8403C" w14:textId="77777777" w:rsidR="00B54B6E" w:rsidRDefault="00B54B6E" w:rsidP="00AE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44FB" w14:textId="5DAC281B" w:rsidR="00AE520B" w:rsidRDefault="00120ABC" w:rsidP="00AE520B">
    <w:pPr>
      <w:spacing w:after="0" w:line="240" w:lineRule="auto"/>
      <w:jc w:val="center"/>
      <w:rPr>
        <w:rFonts w:eastAsia="Times New Roman" w:cstheme="minorHAnsi"/>
        <w:b/>
        <w:bCs/>
        <w:sz w:val="28"/>
        <w:szCs w:val="28"/>
        <w:lang w:val="en-US" w:eastAsia="es-PE"/>
      </w:rPr>
    </w:pPr>
    <w:r w:rsidRPr="00AE520B">
      <w:rPr>
        <w:rFonts w:eastAsia="Times New Roman" w:cstheme="minorHAnsi"/>
        <w:b/>
        <w:bCs/>
        <w:sz w:val="28"/>
        <w:szCs w:val="28"/>
        <w:lang w:val="en-US" w:eastAsia="es-PE"/>
      </w:rPr>
      <w:t>RESUMEN DEL LIBRO “TEN YEARS BACK AND TEN YEARS FORWARD: DEVELOPMENTS AND TRENDS IN HIGHER EDUCATION IN EUROPE REGION”</w:t>
    </w:r>
  </w:p>
  <w:p w14:paraId="61A1ED44" w14:textId="77777777" w:rsidR="00AE520B" w:rsidRPr="00AE520B" w:rsidRDefault="00AE520B" w:rsidP="000C2CE5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7860"/>
    <w:multiLevelType w:val="multilevel"/>
    <w:tmpl w:val="84B0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A67BE"/>
    <w:multiLevelType w:val="multilevel"/>
    <w:tmpl w:val="44E0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721C0"/>
    <w:multiLevelType w:val="multilevel"/>
    <w:tmpl w:val="0650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D7660"/>
    <w:multiLevelType w:val="multilevel"/>
    <w:tmpl w:val="1F14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441FA"/>
    <w:multiLevelType w:val="multilevel"/>
    <w:tmpl w:val="C8EE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83ED3"/>
    <w:multiLevelType w:val="multilevel"/>
    <w:tmpl w:val="ADA0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20278"/>
    <w:multiLevelType w:val="multilevel"/>
    <w:tmpl w:val="E76A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64E4C"/>
    <w:multiLevelType w:val="multilevel"/>
    <w:tmpl w:val="1C6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0B"/>
    <w:rsid w:val="000C2CE5"/>
    <w:rsid w:val="00120ABC"/>
    <w:rsid w:val="004B25EC"/>
    <w:rsid w:val="005C2754"/>
    <w:rsid w:val="00AE520B"/>
    <w:rsid w:val="00B5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43F00"/>
  <w15:chartTrackingRefBased/>
  <w15:docId w15:val="{7B227355-FF1D-4C67-BB78-7CF294FE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E52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E520B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AE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AE520B"/>
    <w:rPr>
      <w:b/>
      <w:bCs/>
    </w:rPr>
  </w:style>
  <w:style w:type="character" w:styleId="nfasis">
    <w:name w:val="Emphasis"/>
    <w:basedOn w:val="Fuentedeprrafopredeter"/>
    <w:uiPriority w:val="20"/>
    <w:qFormat/>
    <w:rsid w:val="00AE520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E5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20B"/>
  </w:style>
  <w:style w:type="paragraph" w:styleId="Piedepgina">
    <w:name w:val="footer"/>
    <w:basedOn w:val="Normal"/>
    <w:link w:val="PiedepginaCar"/>
    <w:uiPriority w:val="99"/>
    <w:unhideWhenUsed/>
    <w:rsid w:val="00AE5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3</cp:revision>
  <dcterms:created xsi:type="dcterms:W3CDTF">2025-07-24T13:39:00Z</dcterms:created>
  <dcterms:modified xsi:type="dcterms:W3CDTF">2025-07-24T13:51:00Z</dcterms:modified>
</cp:coreProperties>
</file>