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DEC94" w14:textId="77777777" w:rsidR="00103DA0" w:rsidRPr="00103DA0" w:rsidRDefault="00103DA0" w:rsidP="00103DA0">
      <w:pPr>
        <w:spacing w:before="100" w:beforeAutospacing="1" w:after="100" w:afterAutospacing="1" w:line="240" w:lineRule="auto"/>
        <w:jc w:val="both"/>
        <w:outlineLvl w:val="2"/>
        <w:rPr>
          <w:rFonts w:eastAsia="Times New Roman" w:cstheme="minorHAnsi"/>
          <w:b/>
          <w:bCs/>
          <w:sz w:val="24"/>
          <w:szCs w:val="24"/>
          <w:lang w:val="en-US" w:eastAsia="es-PE"/>
        </w:rPr>
      </w:pPr>
      <w:proofErr w:type="spellStart"/>
      <w:r w:rsidRPr="00103DA0">
        <w:rPr>
          <w:rFonts w:eastAsia="Times New Roman" w:cstheme="minorHAnsi"/>
          <w:b/>
          <w:bCs/>
          <w:sz w:val="24"/>
          <w:szCs w:val="24"/>
          <w:lang w:val="en-US" w:eastAsia="es-PE"/>
        </w:rPr>
        <w:t>Capítulo</w:t>
      </w:r>
      <w:proofErr w:type="spellEnd"/>
      <w:r w:rsidRPr="00103DA0">
        <w:rPr>
          <w:rFonts w:eastAsia="Times New Roman" w:cstheme="minorHAnsi"/>
          <w:b/>
          <w:bCs/>
          <w:sz w:val="24"/>
          <w:szCs w:val="24"/>
          <w:lang w:val="en-US" w:eastAsia="es-PE"/>
        </w:rPr>
        <w:t xml:space="preserve"> 1: Higher Education in the World</w:t>
      </w:r>
    </w:p>
    <w:p w14:paraId="7129C64D" w14:textId="77777777" w:rsidR="00103DA0" w:rsidRPr="00103DA0" w:rsidRDefault="00103DA0" w:rsidP="00103DA0">
      <w:pPr>
        <w:spacing w:before="100" w:beforeAutospacing="1" w:after="100" w:afterAutospacing="1" w:line="240" w:lineRule="auto"/>
        <w:jc w:val="both"/>
        <w:rPr>
          <w:rFonts w:eastAsia="Times New Roman" w:cstheme="minorHAnsi"/>
          <w:sz w:val="24"/>
          <w:szCs w:val="24"/>
          <w:lang w:eastAsia="es-PE"/>
        </w:rPr>
      </w:pPr>
      <w:r w:rsidRPr="00103DA0">
        <w:rPr>
          <w:rFonts w:eastAsia="Times New Roman" w:cstheme="minorHAnsi"/>
          <w:b/>
          <w:bCs/>
          <w:sz w:val="24"/>
          <w:szCs w:val="24"/>
          <w:lang w:eastAsia="es-PE"/>
        </w:rPr>
        <w:t>Tendencia 1: Internacionalización creciente de la educación superior</w:t>
      </w:r>
      <w:r w:rsidRPr="00103DA0">
        <w:rPr>
          <w:rFonts w:eastAsia="Times New Roman" w:cstheme="minorHAnsi"/>
          <w:sz w:val="24"/>
          <w:szCs w:val="24"/>
          <w:lang w:eastAsia="es-PE"/>
        </w:rPr>
        <w:br/>
        <w:t>Se observa una expansión continua de la movilidad estudiantil internacional como estrategia de internacionalización. Entre 2000 y 2011, el número de estudiantes internacionales se triplicó, alcanzando los 4.3 millones. Esta tendencia responde tanto a los intereses de los países receptores como de las instituciones, que buscan aumentar ingresos y prestigio.</w:t>
      </w:r>
      <w:r w:rsidRPr="00103DA0">
        <w:rPr>
          <w:rFonts w:eastAsia="Times New Roman" w:cstheme="minorHAnsi"/>
          <w:sz w:val="24"/>
          <w:szCs w:val="24"/>
          <w:lang w:eastAsia="es-PE"/>
        </w:rPr>
        <w:br/>
      </w:r>
      <w:proofErr w:type="spellStart"/>
      <w:r w:rsidRPr="00103DA0">
        <w:rPr>
          <w:rFonts w:eastAsia="Times New Roman" w:cstheme="minorHAnsi"/>
          <w:i/>
          <w:iCs/>
          <w:sz w:val="24"/>
          <w:szCs w:val="24"/>
          <w:lang w:val="en-US" w:eastAsia="es-PE"/>
        </w:rPr>
        <w:t>Cita</w:t>
      </w:r>
      <w:proofErr w:type="spellEnd"/>
      <w:r w:rsidRPr="00103DA0">
        <w:rPr>
          <w:rFonts w:eastAsia="Times New Roman" w:cstheme="minorHAnsi"/>
          <w:i/>
          <w:iCs/>
          <w:sz w:val="24"/>
          <w:szCs w:val="24"/>
          <w:lang w:val="en-US" w:eastAsia="es-PE"/>
        </w:rPr>
        <w:t>: “The number of international students […] rose more than threefold over the last decade […] and has become a critically-important source of revenue for higher education institutions.”</w:t>
      </w:r>
      <w:r w:rsidRPr="00103DA0">
        <w:rPr>
          <w:rFonts w:eastAsia="Times New Roman" w:cstheme="minorHAnsi"/>
          <w:sz w:val="24"/>
          <w:szCs w:val="24"/>
          <w:lang w:val="en-US" w:eastAsia="es-PE"/>
        </w:rPr>
        <w:t xml:space="preserve"> </w:t>
      </w:r>
      <w:r w:rsidRPr="00103DA0">
        <w:rPr>
          <w:rFonts w:eastAsia="Times New Roman" w:cstheme="minorHAnsi"/>
          <w:sz w:val="24"/>
          <w:szCs w:val="24"/>
          <w:lang w:eastAsia="es-PE"/>
        </w:rPr>
        <w:t>(p. 3)</w:t>
      </w:r>
    </w:p>
    <w:p w14:paraId="6AA95E53" w14:textId="77777777" w:rsidR="00103DA0" w:rsidRPr="00103DA0" w:rsidRDefault="00103DA0" w:rsidP="00103DA0">
      <w:pPr>
        <w:spacing w:before="100" w:beforeAutospacing="1" w:after="100" w:afterAutospacing="1" w:line="240" w:lineRule="auto"/>
        <w:jc w:val="both"/>
        <w:rPr>
          <w:rFonts w:eastAsia="Times New Roman" w:cstheme="minorHAnsi"/>
          <w:sz w:val="24"/>
          <w:szCs w:val="24"/>
          <w:lang w:eastAsia="es-PE"/>
        </w:rPr>
      </w:pPr>
      <w:r w:rsidRPr="00103DA0">
        <w:rPr>
          <w:rFonts w:eastAsia="Times New Roman" w:cstheme="minorHAnsi"/>
          <w:b/>
          <w:bCs/>
          <w:sz w:val="24"/>
          <w:szCs w:val="24"/>
          <w:lang w:eastAsia="es-PE"/>
        </w:rPr>
        <w:t>Tendencia 2: Globalización del sistema educativo superior</w:t>
      </w:r>
      <w:r w:rsidRPr="00103DA0">
        <w:rPr>
          <w:rFonts w:eastAsia="Times New Roman" w:cstheme="minorHAnsi"/>
          <w:sz w:val="24"/>
          <w:szCs w:val="24"/>
          <w:lang w:eastAsia="es-PE"/>
        </w:rPr>
        <w:br/>
        <w:t>La educación superior se ha convertido en un componente clave del mercado global del conocimiento. Se intensifica la competencia por atraer talento internacional, lo que ha llevado incluso a modificaciones en leyes migratorias para captar estudiantes como futuros ciudadanos calificados.</w:t>
      </w:r>
      <w:r w:rsidRPr="00103DA0">
        <w:rPr>
          <w:rFonts w:eastAsia="Times New Roman" w:cstheme="minorHAnsi"/>
          <w:sz w:val="24"/>
          <w:szCs w:val="24"/>
          <w:lang w:eastAsia="es-PE"/>
        </w:rPr>
        <w:br/>
      </w:r>
      <w:proofErr w:type="spellStart"/>
      <w:r w:rsidRPr="00103DA0">
        <w:rPr>
          <w:rFonts w:eastAsia="Times New Roman" w:cstheme="minorHAnsi"/>
          <w:i/>
          <w:iCs/>
          <w:sz w:val="24"/>
          <w:szCs w:val="24"/>
          <w:lang w:val="en-US" w:eastAsia="es-PE"/>
        </w:rPr>
        <w:t>Cita</w:t>
      </w:r>
      <w:proofErr w:type="spellEnd"/>
      <w:r w:rsidRPr="00103DA0">
        <w:rPr>
          <w:rFonts w:eastAsia="Times New Roman" w:cstheme="minorHAnsi"/>
          <w:i/>
          <w:iCs/>
          <w:sz w:val="24"/>
          <w:szCs w:val="24"/>
          <w:lang w:val="en-US" w:eastAsia="es-PE"/>
        </w:rPr>
        <w:t>: “Higher education – as an essential provider of human capital – has become fundamental to creating competitive advantage.”</w:t>
      </w:r>
      <w:r w:rsidRPr="00103DA0">
        <w:rPr>
          <w:rFonts w:eastAsia="Times New Roman" w:cstheme="minorHAnsi"/>
          <w:sz w:val="24"/>
          <w:szCs w:val="24"/>
          <w:lang w:val="en-US" w:eastAsia="es-PE"/>
        </w:rPr>
        <w:t xml:space="preserve"> </w:t>
      </w:r>
      <w:r w:rsidRPr="00103DA0">
        <w:rPr>
          <w:rFonts w:eastAsia="Times New Roman" w:cstheme="minorHAnsi"/>
          <w:sz w:val="24"/>
          <w:szCs w:val="24"/>
          <w:lang w:eastAsia="es-PE"/>
        </w:rPr>
        <w:t>(p. 4)</w:t>
      </w:r>
    </w:p>
    <w:p w14:paraId="7E9474C9" w14:textId="77777777" w:rsidR="00103DA0" w:rsidRPr="00103DA0" w:rsidRDefault="00103DA0" w:rsidP="00103DA0">
      <w:pPr>
        <w:spacing w:before="100" w:beforeAutospacing="1" w:after="100" w:afterAutospacing="1" w:line="240" w:lineRule="auto"/>
        <w:jc w:val="both"/>
        <w:rPr>
          <w:rFonts w:eastAsia="Times New Roman" w:cstheme="minorHAnsi"/>
          <w:sz w:val="24"/>
          <w:szCs w:val="24"/>
          <w:lang w:eastAsia="es-PE"/>
        </w:rPr>
      </w:pPr>
      <w:r w:rsidRPr="00103DA0">
        <w:rPr>
          <w:rFonts w:eastAsia="Times New Roman" w:cstheme="minorHAnsi"/>
          <w:b/>
          <w:bCs/>
          <w:sz w:val="24"/>
          <w:szCs w:val="24"/>
          <w:lang w:eastAsia="es-PE"/>
        </w:rPr>
        <w:t xml:space="preserve">Tendencia 3: </w:t>
      </w:r>
      <w:proofErr w:type="spellStart"/>
      <w:r w:rsidRPr="00103DA0">
        <w:rPr>
          <w:rFonts w:eastAsia="Times New Roman" w:cstheme="minorHAnsi"/>
          <w:b/>
          <w:bCs/>
          <w:sz w:val="24"/>
          <w:szCs w:val="24"/>
          <w:lang w:eastAsia="es-PE"/>
        </w:rPr>
        <w:t>Europeanización</w:t>
      </w:r>
      <w:proofErr w:type="spellEnd"/>
      <w:r w:rsidRPr="00103DA0">
        <w:rPr>
          <w:rFonts w:eastAsia="Times New Roman" w:cstheme="minorHAnsi"/>
          <w:b/>
          <w:bCs/>
          <w:sz w:val="24"/>
          <w:szCs w:val="24"/>
          <w:lang w:eastAsia="es-PE"/>
        </w:rPr>
        <w:t xml:space="preserve"> como estrategia regional diferenciada</w:t>
      </w:r>
      <w:r w:rsidRPr="00103DA0">
        <w:rPr>
          <w:rFonts w:eastAsia="Times New Roman" w:cstheme="minorHAnsi"/>
          <w:sz w:val="24"/>
          <w:szCs w:val="24"/>
          <w:lang w:eastAsia="es-PE"/>
        </w:rPr>
        <w:br/>
        <w:t>Frente a la globalización, Europa ha optado por un enfoque regional basado en cooperación estructurada. Esta tendencia se refleja en iniciativas como el Proceso de Bolonia y los programas Erasmus.</w:t>
      </w:r>
      <w:r w:rsidRPr="00103DA0">
        <w:rPr>
          <w:rFonts w:eastAsia="Times New Roman" w:cstheme="minorHAnsi"/>
          <w:sz w:val="24"/>
          <w:szCs w:val="24"/>
          <w:lang w:eastAsia="es-PE"/>
        </w:rPr>
        <w:br/>
      </w:r>
      <w:proofErr w:type="spellStart"/>
      <w:r w:rsidRPr="00103DA0">
        <w:rPr>
          <w:rFonts w:eastAsia="Times New Roman" w:cstheme="minorHAnsi"/>
          <w:i/>
          <w:iCs/>
          <w:sz w:val="24"/>
          <w:szCs w:val="24"/>
          <w:lang w:val="en-US" w:eastAsia="es-PE"/>
        </w:rPr>
        <w:t>Cita</w:t>
      </w:r>
      <w:proofErr w:type="spellEnd"/>
      <w:r w:rsidRPr="00103DA0">
        <w:rPr>
          <w:rFonts w:eastAsia="Times New Roman" w:cstheme="minorHAnsi"/>
          <w:i/>
          <w:iCs/>
          <w:sz w:val="24"/>
          <w:szCs w:val="24"/>
          <w:lang w:val="en-US" w:eastAsia="es-PE"/>
        </w:rPr>
        <w:t xml:space="preserve">: “Europeanisation is the regionally oriented version of either </w:t>
      </w:r>
      <w:proofErr w:type="spellStart"/>
      <w:r w:rsidRPr="00103DA0">
        <w:rPr>
          <w:rFonts w:eastAsia="Times New Roman" w:cstheme="minorHAnsi"/>
          <w:i/>
          <w:iCs/>
          <w:sz w:val="24"/>
          <w:szCs w:val="24"/>
          <w:lang w:val="en-US" w:eastAsia="es-PE"/>
        </w:rPr>
        <w:t>internationalisation</w:t>
      </w:r>
      <w:proofErr w:type="spellEnd"/>
      <w:r w:rsidRPr="00103DA0">
        <w:rPr>
          <w:rFonts w:eastAsia="Times New Roman" w:cstheme="minorHAnsi"/>
          <w:i/>
          <w:iCs/>
          <w:sz w:val="24"/>
          <w:szCs w:val="24"/>
          <w:lang w:val="en-US" w:eastAsia="es-PE"/>
        </w:rPr>
        <w:t xml:space="preserve"> or </w:t>
      </w:r>
      <w:proofErr w:type="spellStart"/>
      <w:r w:rsidRPr="00103DA0">
        <w:rPr>
          <w:rFonts w:eastAsia="Times New Roman" w:cstheme="minorHAnsi"/>
          <w:i/>
          <w:iCs/>
          <w:sz w:val="24"/>
          <w:szCs w:val="24"/>
          <w:lang w:val="en-US" w:eastAsia="es-PE"/>
        </w:rPr>
        <w:t>globalisation</w:t>
      </w:r>
      <w:proofErr w:type="spellEnd"/>
      <w:r w:rsidRPr="00103DA0">
        <w:rPr>
          <w:rFonts w:eastAsia="Times New Roman" w:cstheme="minorHAnsi"/>
          <w:i/>
          <w:iCs/>
          <w:sz w:val="24"/>
          <w:szCs w:val="24"/>
          <w:lang w:val="en-US" w:eastAsia="es-PE"/>
        </w:rPr>
        <w:t xml:space="preserve"> and is often </w:t>
      </w:r>
      <w:proofErr w:type="spellStart"/>
      <w:r w:rsidRPr="00103DA0">
        <w:rPr>
          <w:rFonts w:eastAsia="Times New Roman" w:cstheme="minorHAnsi"/>
          <w:i/>
          <w:iCs/>
          <w:sz w:val="24"/>
          <w:szCs w:val="24"/>
          <w:lang w:val="en-US" w:eastAsia="es-PE"/>
        </w:rPr>
        <w:t>analysed</w:t>
      </w:r>
      <w:proofErr w:type="spellEnd"/>
      <w:r w:rsidRPr="00103DA0">
        <w:rPr>
          <w:rFonts w:eastAsia="Times New Roman" w:cstheme="minorHAnsi"/>
          <w:i/>
          <w:iCs/>
          <w:sz w:val="24"/>
          <w:szCs w:val="24"/>
          <w:lang w:val="en-US" w:eastAsia="es-PE"/>
        </w:rPr>
        <w:t xml:space="preserve"> in respect of cooperation and mobility.”</w:t>
      </w:r>
      <w:r w:rsidRPr="00103DA0">
        <w:rPr>
          <w:rFonts w:eastAsia="Times New Roman" w:cstheme="minorHAnsi"/>
          <w:sz w:val="24"/>
          <w:szCs w:val="24"/>
          <w:lang w:val="en-US" w:eastAsia="es-PE"/>
        </w:rPr>
        <w:t xml:space="preserve"> </w:t>
      </w:r>
      <w:r w:rsidRPr="00103DA0">
        <w:rPr>
          <w:rFonts w:eastAsia="Times New Roman" w:cstheme="minorHAnsi"/>
          <w:sz w:val="24"/>
          <w:szCs w:val="24"/>
          <w:lang w:eastAsia="es-PE"/>
        </w:rPr>
        <w:t>(p. 4)</w:t>
      </w:r>
    </w:p>
    <w:p w14:paraId="652B7A74" w14:textId="77777777" w:rsidR="00103DA0" w:rsidRPr="00103DA0" w:rsidRDefault="00103DA0" w:rsidP="00103DA0">
      <w:pPr>
        <w:spacing w:before="100" w:beforeAutospacing="1" w:after="100" w:afterAutospacing="1" w:line="240" w:lineRule="auto"/>
        <w:jc w:val="both"/>
        <w:outlineLvl w:val="2"/>
        <w:rPr>
          <w:rFonts w:eastAsia="Times New Roman" w:cstheme="minorHAnsi"/>
          <w:b/>
          <w:bCs/>
          <w:sz w:val="24"/>
          <w:szCs w:val="24"/>
          <w:lang w:val="en-US" w:eastAsia="es-PE"/>
        </w:rPr>
      </w:pPr>
      <w:proofErr w:type="spellStart"/>
      <w:r w:rsidRPr="00103DA0">
        <w:rPr>
          <w:rFonts w:eastAsia="Times New Roman" w:cstheme="minorHAnsi"/>
          <w:b/>
          <w:bCs/>
          <w:sz w:val="24"/>
          <w:szCs w:val="24"/>
          <w:lang w:val="en-US" w:eastAsia="es-PE"/>
        </w:rPr>
        <w:t>Capítulo</w:t>
      </w:r>
      <w:proofErr w:type="spellEnd"/>
      <w:r w:rsidRPr="00103DA0">
        <w:rPr>
          <w:rFonts w:eastAsia="Times New Roman" w:cstheme="minorHAnsi"/>
          <w:b/>
          <w:bCs/>
          <w:sz w:val="24"/>
          <w:szCs w:val="24"/>
          <w:lang w:val="en-US" w:eastAsia="es-PE"/>
        </w:rPr>
        <w:t xml:space="preserve"> 2: The EU Approach to Higher Education</w:t>
      </w:r>
    </w:p>
    <w:p w14:paraId="5005A847" w14:textId="77777777" w:rsidR="00103DA0" w:rsidRPr="00103DA0" w:rsidRDefault="00103DA0" w:rsidP="00103DA0">
      <w:pPr>
        <w:spacing w:before="100" w:beforeAutospacing="1" w:after="100" w:afterAutospacing="1" w:line="240" w:lineRule="auto"/>
        <w:jc w:val="both"/>
        <w:rPr>
          <w:rFonts w:eastAsia="Times New Roman" w:cstheme="minorHAnsi"/>
          <w:sz w:val="24"/>
          <w:szCs w:val="24"/>
          <w:lang w:eastAsia="es-PE"/>
        </w:rPr>
      </w:pPr>
      <w:r w:rsidRPr="00103DA0">
        <w:rPr>
          <w:rFonts w:eastAsia="Times New Roman" w:cstheme="minorHAnsi"/>
          <w:b/>
          <w:bCs/>
          <w:sz w:val="24"/>
          <w:szCs w:val="24"/>
          <w:lang w:eastAsia="es-PE"/>
        </w:rPr>
        <w:t>Tendencia 4: Enfoque subsidiario y no centralizador de la UE</w:t>
      </w:r>
      <w:r w:rsidRPr="00103DA0">
        <w:rPr>
          <w:rFonts w:eastAsia="Times New Roman" w:cstheme="minorHAnsi"/>
          <w:sz w:val="24"/>
          <w:szCs w:val="24"/>
          <w:lang w:eastAsia="es-PE"/>
        </w:rPr>
        <w:br/>
        <w:t>La política educativa se mantiene bajo control de los Estados miembros, respetando el principio de subsidiariedad. La UE no impone reformas obligatorias, sino que proporciona marcos de referencia y programas de apoyo.</w:t>
      </w:r>
      <w:r w:rsidRPr="00103DA0">
        <w:rPr>
          <w:rFonts w:eastAsia="Times New Roman" w:cstheme="minorHAnsi"/>
          <w:sz w:val="24"/>
          <w:szCs w:val="24"/>
          <w:lang w:eastAsia="es-PE"/>
        </w:rPr>
        <w:br/>
      </w:r>
      <w:proofErr w:type="spellStart"/>
      <w:r w:rsidRPr="00103DA0">
        <w:rPr>
          <w:rFonts w:eastAsia="Times New Roman" w:cstheme="minorHAnsi"/>
          <w:i/>
          <w:iCs/>
          <w:sz w:val="24"/>
          <w:szCs w:val="24"/>
          <w:lang w:val="en-US" w:eastAsia="es-PE"/>
        </w:rPr>
        <w:t>Cita</w:t>
      </w:r>
      <w:proofErr w:type="spellEnd"/>
      <w:r w:rsidRPr="00103DA0">
        <w:rPr>
          <w:rFonts w:eastAsia="Times New Roman" w:cstheme="minorHAnsi"/>
          <w:i/>
          <w:iCs/>
          <w:sz w:val="24"/>
          <w:szCs w:val="24"/>
          <w:lang w:val="en-US" w:eastAsia="es-PE"/>
        </w:rPr>
        <w:t>: “Higher education policies in the EU are essentially decided and implemented by the individual EU Member States.”</w:t>
      </w:r>
      <w:r w:rsidRPr="00103DA0">
        <w:rPr>
          <w:rFonts w:eastAsia="Times New Roman" w:cstheme="minorHAnsi"/>
          <w:sz w:val="24"/>
          <w:szCs w:val="24"/>
          <w:lang w:val="en-US" w:eastAsia="es-PE"/>
        </w:rPr>
        <w:t xml:space="preserve"> </w:t>
      </w:r>
      <w:r w:rsidRPr="00103DA0">
        <w:rPr>
          <w:rFonts w:eastAsia="Times New Roman" w:cstheme="minorHAnsi"/>
          <w:sz w:val="24"/>
          <w:szCs w:val="24"/>
          <w:lang w:eastAsia="es-PE"/>
        </w:rPr>
        <w:t>(p. 6)</w:t>
      </w:r>
    </w:p>
    <w:p w14:paraId="04159A77" w14:textId="77777777" w:rsidR="00103DA0" w:rsidRPr="00103DA0" w:rsidRDefault="00103DA0" w:rsidP="00103DA0">
      <w:pPr>
        <w:spacing w:before="100" w:beforeAutospacing="1" w:after="100" w:afterAutospacing="1" w:line="240" w:lineRule="auto"/>
        <w:jc w:val="both"/>
        <w:rPr>
          <w:rFonts w:eastAsia="Times New Roman" w:cstheme="minorHAnsi"/>
          <w:sz w:val="24"/>
          <w:szCs w:val="24"/>
          <w:lang w:eastAsia="es-PE"/>
        </w:rPr>
      </w:pPr>
      <w:r w:rsidRPr="00103DA0">
        <w:rPr>
          <w:rFonts w:eastAsia="Times New Roman" w:cstheme="minorHAnsi"/>
          <w:b/>
          <w:bCs/>
          <w:sz w:val="24"/>
          <w:szCs w:val="24"/>
          <w:lang w:eastAsia="es-PE"/>
        </w:rPr>
        <w:t>Tendencia 5: Modernización orientada a empleabilidad y competitividad</w:t>
      </w:r>
      <w:r w:rsidRPr="00103DA0">
        <w:rPr>
          <w:rFonts w:eastAsia="Times New Roman" w:cstheme="minorHAnsi"/>
          <w:sz w:val="24"/>
          <w:szCs w:val="24"/>
          <w:lang w:eastAsia="es-PE"/>
        </w:rPr>
        <w:br/>
        <w:t>Se promueve una educación superior que responda a las demandas del mercado laboral y al desarrollo económico. La formación se orienta crecientemente a competencias útiles para la innovación y la empleabilidad.</w:t>
      </w:r>
      <w:r w:rsidRPr="00103DA0">
        <w:rPr>
          <w:rFonts w:eastAsia="Times New Roman" w:cstheme="minorHAnsi"/>
          <w:sz w:val="24"/>
          <w:szCs w:val="24"/>
          <w:lang w:eastAsia="es-PE"/>
        </w:rPr>
        <w:br/>
      </w:r>
      <w:proofErr w:type="spellStart"/>
      <w:r w:rsidRPr="00103DA0">
        <w:rPr>
          <w:rFonts w:eastAsia="Times New Roman" w:cstheme="minorHAnsi"/>
          <w:i/>
          <w:iCs/>
          <w:sz w:val="24"/>
          <w:szCs w:val="24"/>
          <w:lang w:val="en-US" w:eastAsia="es-PE"/>
        </w:rPr>
        <w:t>Cita</w:t>
      </w:r>
      <w:proofErr w:type="spellEnd"/>
      <w:r w:rsidRPr="00103DA0">
        <w:rPr>
          <w:rFonts w:eastAsia="Times New Roman" w:cstheme="minorHAnsi"/>
          <w:i/>
          <w:iCs/>
          <w:sz w:val="24"/>
          <w:szCs w:val="24"/>
          <w:lang w:val="en-US" w:eastAsia="es-PE"/>
        </w:rPr>
        <w:t>: “Graduates' skills and qualifications are one of the key factors determining the future economic success of the EU.”</w:t>
      </w:r>
      <w:r w:rsidRPr="00103DA0">
        <w:rPr>
          <w:rFonts w:eastAsia="Times New Roman" w:cstheme="minorHAnsi"/>
          <w:sz w:val="24"/>
          <w:szCs w:val="24"/>
          <w:lang w:val="en-US" w:eastAsia="es-PE"/>
        </w:rPr>
        <w:t xml:space="preserve"> </w:t>
      </w:r>
      <w:r w:rsidRPr="00103DA0">
        <w:rPr>
          <w:rFonts w:eastAsia="Times New Roman" w:cstheme="minorHAnsi"/>
          <w:sz w:val="24"/>
          <w:szCs w:val="24"/>
          <w:lang w:eastAsia="es-PE"/>
        </w:rPr>
        <w:t>(p. 8)</w:t>
      </w:r>
    </w:p>
    <w:p w14:paraId="4BD38592" w14:textId="77777777" w:rsidR="00103DA0" w:rsidRPr="00103DA0" w:rsidRDefault="00103DA0" w:rsidP="00103DA0">
      <w:pPr>
        <w:spacing w:before="100" w:beforeAutospacing="1" w:after="100" w:afterAutospacing="1" w:line="240" w:lineRule="auto"/>
        <w:jc w:val="both"/>
        <w:rPr>
          <w:rFonts w:eastAsia="Times New Roman" w:cstheme="minorHAnsi"/>
          <w:sz w:val="24"/>
          <w:szCs w:val="24"/>
          <w:lang w:eastAsia="es-PE"/>
        </w:rPr>
      </w:pPr>
      <w:r w:rsidRPr="00103DA0">
        <w:rPr>
          <w:rFonts w:eastAsia="Times New Roman" w:cstheme="minorHAnsi"/>
          <w:b/>
          <w:bCs/>
          <w:sz w:val="24"/>
          <w:szCs w:val="24"/>
          <w:lang w:eastAsia="es-PE"/>
        </w:rPr>
        <w:t>Tendencia 6: Educación superior como instrumento de inclusión social</w:t>
      </w:r>
      <w:r w:rsidRPr="00103DA0">
        <w:rPr>
          <w:rFonts w:eastAsia="Times New Roman" w:cstheme="minorHAnsi"/>
          <w:sz w:val="24"/>
          <w:szCs w:val="24"/>
          <w:lang w:eastAsia="es-PE"/>
        </w:rPr>
        <w:br/>
        <w:t>La UE promueve el acceso equitativo, considerando la educación superior un factor de cohesión. Se busca ampliar la participación de estudiantes de grupos menos favorecidos como parte de la dimensión social de la educación.</w:t>
      </w:r>
      <w:r w:rsidRPr="00103DA0">
        <w:rPr>
          <w:rFonts w:eastAsia="Times New Roman" w:cstheme="minorHAnsi"/>
          <w:sz w:val="24"/>
          <w:szCs w:val="24"/>
          <w:lang w:eastAsia="es-PE"/>
        </w:rPr>
        <w:br/>
      </w:r>
      <w:proofErr w:type="spellStart"/>
      <w:r w:rsidRPr="00103DA0">
        <w:rPr>
          <w:rFonts w:eastAsia="Times New Roman" w:cstheme="minorHAnsi"/>
          <w:i/>
          <w:iCs/>
          <w:sz w:val="24"/>
          <w:szCs w:val="24"/>
          <w:lang w:val="en-US" w:eastAsia="es-PE"/>
        </w:rPr>
        <w:lastRenderedPageBreak/>
        <w:t>Cita</w:t>
      </w:r>
      <w:proofErr w:type="spellEnd"/>
      <w:r w:rsidRPr="00103DA0">
        <w:rPr>
          <w:rFonts w:eastAsia="Times New Roman" w:cstheme="minorHAnsi"/>
          <w:i/>
          <w:iCs/>
          <w:sz w:val="24"/>
          <w:szCs w:val="24"/>
          <w:lang w:val="en-US" w:eastAsia="es-PE"/>
        </w:rPr>
        <w:t>: “Higher education is considered an essential element for social mobility and inclusion.”</w:t>
      </w:r>
      <w:r w:rsidRPr="00103DA0">
        <w:rPr>
          <w:rFonts w:eastAsia="Times New Roman" w:cstheme="minorHAnsi"/>
          <w:sz w:val="24"/>
          <w:szCs w:val="24"/>
          <w:lang w:val="en-US" w:eastAsia="es-PE"/>
        </w:rPr>
        <w:t xml:space="preserve"> </w:t>
      </w:r>
      <w:r w:rsidRPr="00103DA0">
        <w:rPr>
          <w:rFonts w:eastAsia="Times New Roman" w:cstheme="minorHAnsi"/>
          <w:sz w:val="24"/>
          <w:szCs w:val="24"/>
          <w:lang w:eastAsia="es-PE"/>
        </w:rPr>
        <w:t>(p. 6)</w:t>
      </w:r>
    </w:p>
    <w:p w14:paraId="0C648023" w14:textId="77777777" w:rsidR="00103DA0" w:rsidRPr="00103DA0" w:rsidRDefault="00103DA0" w:rsidP="00103DA0">
      <w:pPr>
        <w:spacing w:before="100" w:beforeAutospacing="1" w:after="100" w:afterAutospacing="1" w:line="240" w:lineRule="auto"/>
        <w:jc w:val="both"/>
        <w:outlineLvl w:val="2"/>
        <w:rPr>
          <w:rFonts w:eastAsia="Times New Roman" w:cstheme="minorHAnsi"/>
          <w:b/>
          <w:bCs/>
          <w:sz w:val="24"/>
          <w:szCs w:val="24"/>
          <w:lang w:val="en-US" w:eastAsia="es-PE"/>
        </w:rPr>
      </w:pPr>
      <w:proofErr w:type="spellStart"/>
      <w:r w:rsidRPr="00103DA0">
        <w:rPr>
          <w:rFonts w:eastAsia="Times New Roman" w:cstheme="minorHAnsi"/>
          <w:b/>
          <w:bCs/>
          <w:sz w:val="24"/>
          <w:szCs w:val="24"/>
          <w:lang w:val="en-US" w:eastAsia="es-PE"/>
        </w:rPr>
        <w:t>Capítulo</w:t>
      </w:r>
      <w:proofErr w:type="spellEnd"/>
      <w:r w:rsidRPr="00103DA0">
        <w:rPr>
          <w:rFonts w:eastAsia="Times New Roman" w:cstheme="minorHAnsi"/>
          <w:b/>
          <w:bCs/>
          <w:sz w:val="24"/>
          <w:szCs w:val="24"/>
          <w:lang w:val="en-US" w:eastAsia="es-PE"/>
        </w:rPr>
        <w:t xml:space="preserve"> 3: The EU Higher Education System</w:t>
      </w:r>
    </w:p>
    <w:p w14:paraId="0694768A" w14:textId="77777777" w:rsidR="00103DA0" w:rsidRPr="00103DA0" w:rsidRDefault="00103DA0" w:rsidP="00103DA0">
      <w:pPr>
        <w:spacing w:before="100" w:beforeAutospacing="1" w:after="100" w:afterAutospacing="1" w:line="240" w:lineRule="auto"/>
        <w:jc w:val="both"/>
        <w:rPr>
          <w:rFonts w:eastAsia="Times New Roman" w:cstheme="minorHAnsi"/>
          <w:sz w:val="24"/>
          <w:szCs w:val="24"/>
          <w:lang w:eastAsia="es-PE"/>
        </w:rPr>
      </w:pPr>
      <w:r w:rsidRPr="00103DA0">
        <w:rPr>
          <w:rFonts w:eastAsia="Times New Roman" w:cstheme="minorHAnsi"/>
          <w:b/>
          <w:bCs/>
          <w:sz w:val="24"/>
          <w:szCs w:val="24"/>
          <w:lang w:eastAsia="es-PE"/>
        </w:rPr>
        <w:t>Tendencia 7: Convergencia estructural mediante el Proceso de Bolonia</w:t>
      </w:r>
      <w:r w:rsidRPr="00103DA0">
        <w:rPr>
          <w:rFonts w:eastAsia="Times New Roman" w:cstheme="minorHAnsi"/>
          <w:sz w:val="24"/>
          <w:szCs w:val="24"/>
          <w:lang w:eastAsia="es-PE"/>
        </w:rPr>
        <w:br/>
        <w:t xml:space="preserve">El Proceso de Bolonia ha impulsado una arquitectura común en los sistemas europeos mediante tres ciclos académicos, el sistema ECTS y el suplemento al diploma. </w:t>
      </w:r>
      <w:proofErr w:type="spellStart"/>
      <w:r w:rsidRPr="00103DA0">
        <w:rPr>
          <w:rFonts w:eastAsia="Times New Roman" w:cstheme="minorHAnsi"/>
          <w:sz w:val="24"/>
          <w:szCs w:val="24"/>
          <w:lang w:val="en-US" w:eastAsia="es-PE"/>
        </w:rPr>
        <w:t>Esto</w:t>
      </w:r>
      <w:proofErr w:type="spellEnd"/>
      <w:r w:rsidRPr="00103DA0">
        <w:rPr>
          <w:rFonts w:eastAsia="Times New Roman" w:cstheme="minorHAnsi"/>
          <w:sz w:val="24"/>
          <w:szCs w:val="24"/>
          <w:lang w:val="en-US" w:eastAsia="es-PE"/>
        </w:rPr>
        <w:t xml:space="preserve"> ha </w:t>
      </w:r>
      <w:proofErr w:type="spellStart"/>
      <w:r w:rsidRPr="00103DA0">
        <w:rPr>
          <w:rFonts w:eastAsia="Times New Roman" w:cstheme="minorHAnsi"/>
          <w:sz w:val="24"/>
          <w:szCs w:val="24"/>
          <w:lang w:val="en-US" w:eastAsia="es-PE"/>
        </w:rPr>
        <w:t>fortalecido</w:t>
      </w:r>
      <w:proofErr w:type="spellEnd"/>
      <w:r w:rsidRPr="00103DA0">
        <w:rPr>
          <w:rFonts w:eastAsia="Times New Roman" w:cstheme="minorHAnsi"/>
          <w:sz w:val="24"/>
          <w:szCs w:val="24"/>
          <w:lang w:val="en-US" w:eastAsia="es-PE"/>
        </w:rPr>
        <w:t xml:space="preserve"> la </w:t>
      </w:r>
      <w:proofErr w:type="spellStart"/>
      <w:r w:rsidRPr="00103DA0">
        <w:rPr>
          <w:rFonts w:eastAsia="Times New Roman" w:cstheme="minorHAnsi"/>
          <w:sz w:val="24"/>
          <w:szCs w:val="24"/>
          <w:lang w:val="en-US" w:eastAsia="es-PE"/>
        </w:rPr>
        <w:t>compatibilidad</w:t>
      </w:r>
      <w:proofErr w:type="spellEnd"/>
      <w:r w:rsidRPr="00103DA0">
        <w:rPr>
          <w:rFonts w:eastAsia="Times New Roman" w:cstheme="minorHAnsi"/>
          <w:sz w:val="24"/>
          <w:szCs w:val="24"/>
          <w:lang w:val="en-US" w:eastAsia="es-PE"/>
        </w:rPr>
        <w:t xml:space="preserve"> y </w:t>
      </w:r>
      <w:proofErr w:type="spellStart"/>
      <w:r w:rsidRPr="00103DA0">
        <w:rPr>
          <w:rFonts w:eastAsia="Times New Roman" w:cstheme="minorHAnsi"/>
          <w:sz w:val="24"/>
          <w:szCs w:val="24"/>
          <w:lang w:val="en-US" w:eastAsia="es-PE"/>
        </w:rPr>
        <w:t>movilidad</w:t>
      </w:r>
      <w:proofErr w:type="spellEnd"/>
      <w:r w:rsidRPr="00103DA0">
        <w:rPr>
          <w:rFonts w:eastAsia="Times New Roman" w:cstheme="minorHAnsi"/>
          <w:sz w:val="24"/>
          <w:szCs w:val="24"/>
          <w:lang w:val="en-US" w:eastAsia="es-PE"/>
        </w:rPr>
        <w:t xml:space="preserve"> </w:t>
      </w:r>
      <w:proofErr w:type="spellStart"/>
      <w:r w:rsidRPr="00103DA0">
        <w:rPr>
          <w:rFonts w:eastAsia="Times New Roman" w:cstheme="minorHAnsi"/>
          <w:sz w:val="24"/>
          <w:szCs w:val="24"/>
          <w:lang w:val="en-US" w:eastAsia="es-PE"/>
        </w:rPr>
        <w:t>intraeuropea</w:t>
      </w:r>
      <w:proofErr w:type="spellEnd"/>
      <w:r w:rsidRPr="00103DA0">
        <w:rPr>
          <w:rFonts w:eastAsia="Times New Roman" w:cstheme="minorHAnsi"/>
          <w:sz w:val="24"/>
          <w:szCs w:val="24"/>
          <w:lang w:val="en-US" w:eastAsia="es-PE"/>
        </w:rPr>
        <w:t>.</w:t>
      </w:r>
      <w:r w:rsidRPr="00103DA0">
        <w:rPr>
          <w:rFonts w:eastAsia="Times New Roman" w:cstheme="minorHAnsi"/>
          <w:sz w:val="24"/>
          <w:szCs w:val="24"/>
          <w:lang w:val="en-US" w:eastAsia="es-PE"/>
        </w:rPr>
        <w:br/>
      </w:r>
      <w:proofErr w:type="spellStart"/>
      <w:r w:rsidRPr="00103DA0">
        <w:rPr>
          <w:rFonts w:eastAsia="Times New Roman" w:cstheme="minorHAnsi"/>
          <w:i/>
          <w:iCs/>
          <w:sz w:val="24"/>
          <w:szCs w:val="24"/>
          <w:lang w:val="en-US" w:eastAsia="es-PE"/>
        </w:rPr>
        <w:t>Cita</w:t>
      </w:r>
      <w:proofErr w:type="spellEnd"/>
      <w:r w:rsidRPr="00103DA0">
        <w:rPr>
          <w:rFonts w:eastAsia="Times New Roman" w:cstheme="minorHAnsi"/>
          <w:i/>
          <w:iCs/>
          <w:sz w:val="24"/>
          <w:szCs w:val="24"/>
          <w:lang w:val="en-US" w:eastAsia="es-PE"/>
        </w:rPr>
        <w:t>: “The Bologna process […] aimed at improving the comparability between [national systems], as well as at implementing tools for recognition of degrees.”</w:t>
      </w:r>
      <w:r w:rsidRPr="00103DA0">
        <w:rPr>
          <w:rFonts w:eastAsia="Times New Roman" w:cstheme="minorHAnsi"/>
          <w:sz w:val="24"/>
          <w:szCs w:val="24"/>
          <w:lang w:val="en-US" w:eastAsia="es-PE"/>
        </w:rPr>
        <w:t xml:space="preserve"> </w:t>
      </w:r>
      <w:r w:rsidRPr="00103DA0">
        <w:rPr>
          <w:rFonts w:eastAsia="Times New Roman" w:cstheme="minorHAnsi"/>
          <w:sz w:val="24"/>
          <w:szCs w:val="24"/>
          <w:lang w:eastAsia="es-PE"/>
        </w:rPr>
        <w:t>(p. 10)</w:t>
      </w:r>
    </w:p>
    <w:p w14:paraId="08944BFA" w14:textId="77777777" w:rsidR="00103DA0" w:rsidRPr="00103DA0" w:rsidRDefault="00103DA0" w:rsidP="00103DA0">
      <w:pPr>
        <w:spacing w:before="100" w:beforeAutospacing="1" w:after="100" w:afterAutospacing="1" w:line="240" w:lineRule="auto"/>
        <w:jc w:val="both"/>
        <w:rPr>
          <w:rFonts w:eastAsia="Times New Roman" w:cstheme="minorHAnsi"/>
          <w:sz w:val="24"/>
          <w:szCs w:val="24"/>
          <w:lang w:eastAsia="es-PE"/>
        </w:rPr>
      </w:pPr>
      <w:r w:rsidRPr="00103DA0">
        <w:rPr>
          <w:rFonts w:eastAsia="Times New Roman" w:cstheme="minorHAnsi"/>
          <w:b/>
          <w:bCs/>
          <w:sz w:val="24"/>
          <w:szCs w:val="24"/>
          <w:lang w:eastAsia="es-PE"/>
        </w:rPr>
        <w:t>Tendencia 8: Consolidación de sistemas de aseguramiento de la calidad</w:t>
      </w:r>
      <w:r w:rsidRPr="00103DA0">
        <w:rPr>
          <w:rFonts w:eastAsia="Times New Roman" w:cstheme="minorHAnsi"/>
          <w:sz w:val="24"/>
          <w:szCs w:val="24"/>
          <w:lang w:eastAsia="es-PE"/>
        </w:rPr>
        <w:br/>
        <w:t>Se ha generalizado la existencia de agencias nacionales de aseguramiento de la calidad, muchas de ellas alineadas con los “</w:t>
      </w:r>
      <w:proofErr w:type="spellStart"/>
      <w:r w:rsidRPr="00103DA0">
        <w:rPr>
          <w:rFonts w:eastAsia="Times New Roman" w:cstheme="minorHAnsi"/>
          <w:sz w:val="24"/>
          <w:szCs w:val="24"/>
          <w:lang w:eastAsia="es-PE"/>
        </w:rPr>
        <w:t>European</w:t>
      </w:r>
      <w:proofErr w:type="spellEnd"/>
      <w:r w:rsidRPr="00103DA0">
        <w:rPr>
          <w:rFonts w:eastAsia="Times New Roman" w:cstheme="minorHAnsi"/>
          <w:sz w:val="24"/>
          <w:szCs w:val="24"/>
          <w:lang w:eastAsia="es-PE"/>
        </w:rPr>
        <w:t xml:space="preserve"> </w:t>
      </w:r>
      <w:proofErr w:type="spellStart"/>
      <w:r w:rsidRPr="00103DA0">
        <w:rPr>
          <w:rFonts w:eastAsia="Times New Roman" w:cstheme="minorHAnsi"/>
          <w:sz w:val="24"/>
          <w:szCs w:val="24"/>
          <w:lang w:eastAsia="es-PE"/>
        </w:rPr>
        <w:t>Standards</w:t>
      </w:r>
      <w:proofErr w:type="spellEnd"/>
      <w:r w:rsidRPr="00103DA0">
        <w:rPr>
          <w:rFonts w:eastAsia="Times New Roman" w:cstheme="minorHAnsi"/>
          <w:sz w:val="24"/>
          <w:szCs w:val="24"/>
          <w:lang w:eastAsia="es-PE"/>
        </w:rPr>
        <w:t xml:space="preserve"> and </w:t>
      </w:r>
      <w:proofErr w:type="spellStart"/>
      <w:r w:rsidRPr="00103DA0">
        <w:rPr>
          <w:rFonts w:eastAsia="Times New Roman" w:cstheme="minorHAnsi"/>
          <w:sz w:val="24"/>
          <w:szCs w:val="24"/>
          <w:lang w:eastAsia="es-PE"/>
        </w:rPr>
        <w:t>Guidelines</w:t>
      </w:r>
      <w:proofErr w:type="spellEnd"/>
      <w:r w:rsidRPr="00103DA0">
        <w:rPr>
          <w:rFonts w:eastAsia="Times New Roman" w:cstheme="minorHAnsi"/>
          <w:sz w:val="24"/>
          <w:szCs w:val="24"/>
          <w:lang w:eastAsia="es-PE"/>
        </w:rPr>
        <w:t xml:space="preserve">” (ESG). No obstante, se advierten aplicaciones desiguales y escasa movilidad </w:t>
      </w:r>
      <w:proofErr w:type="spellStart"/>
      <w:r w:rsidRPr="00103DA0">
        <w:rPr>
          <w:rFonts w:eastAsia="Times New Roman" w:cstheme="minorHAnsi"/>
          <w:sz w:val="24"/>
          <w:szCs w:val="24"/>
          <w:lang w:eastAsia="es-PE"/>
        </w:rPr>
        <w:t>interagencias</w:t>
      </w:r>
      <w:proofErr w:type="spellEnd"/>
      <w:r w:rsidRPr="00103DA0">
        <w:rPr>
          <w:rFonts w:eastAsia="Times New Roman" w:cstheme="minorHAnsi"/>
          <w:sz w:val="24"/>
          <w:szCs w:val="24"/>
          <w:lang w:eastAsia="es-PE"/>
        </w:rPr>
        <w:t>.</w:t>
      </w:r>
      <w:r w:rsidRPr="00103DA0">
        <w:rPr>
          <w:rFonts w:eastAsia="Times New Roman" w:cstheme="minorHAnsi"/>
          <w:sz w:val="24"/>
          <w:szCs w:val="24"/>
          <w:lang w:eastAsia="es-PE"/>
        </w:rPr>
        <w:br/>
      </w:r>
      <w:proofErr w:type="spellStart"/>
      <w:r w:rsidRPr="00103DA0">
        <w:rPr>
          <w:rFonts w:eastAsia="Times New Roman" w:cstheme="minorHAnsi"/>
          <w:i/>
          <w:iCs/>
          <w:sz w:val="24"/>
          <w:szCs w:val="24"/>
          <w:lang w:val="en-US" w:eastAsia="es-PE"/>
        </w:rPr>
        <w:t>Cita</w:t>
      </w:r>
      <w:proofErr w:type="spellEnd"/>
      <w:r w:rsidRPr="00103DA0">
        <w:rPr>
          <w:rFonts w:eastAsia="Times New Roman" w:cstheme="minorHAnsi"/>
          <w:i/>
          <w:iCs/>
          <w:sz w:val="24"/>
          <w:szCs w:val="24"/>
          <w:lang w:val="en-US" w:eastAsia="es-PE"/>
        </w:rPr>
        <w:t>: “Only in six EU countries […] are higher education institutions allowed to work with foreign registered agencies.”</w:t>
      </w:r>
      <w:r w:rsidRPr="00103DA0">
        <w:rPr>
          <w:rFonts w:eastAsia="Times New Roman" w:cstheme="minorHAnsi"/>
          <w:sz w:val="24"/>
          <w:szCs w:val="24"/>
          <w:lang w:val="en-US" w:eastAsia="es-PE"/>
        </w:rPr>
        <w:t xml:space="preserve"> </w:t>
      </w:r>
      <w:r w:rsidRPr="00103DA0">
        <w:rPr>
          <w:rFonts w:eastAsia="Times New Roman" w:cstheme="minorHAnsi"/>
          <w:sz w:val="24"/>
          <w:szCs w:val="24"/>
          <w:lang w:eastAsia="es-PE"/>
        </w:rPr>
        <w:t>(p. 11)</w:t>
      </w:r>
    </w:p>
    <w:p w14:paraId="3C336001" w14:textId="77777777" w:rsidR="00103DA0" w:rsidRPr="00103DA0" w:rsidRDefault="00103DA0" w:rsidP="00103DA0">
      <w:pPr>
        <w:spacing w:before="100" w:beforeAutospacing="1" w:after="100" w:afterAutospacing="1" w:line="240" w:lineRule="auto"/>
        <w:jc w:val="both"/>
        <w:rPr>
          <w:rFonts w:eastAsia="Times New Roman" w:cstheme="minorHAnsi"/>
          <w:sz w:val="24"/>
          <w:szCs w:val="24"/>
          <w:lang w:eastAsia="es-PE"/>
        </w:rPr>
      </w:pPr>
      <w:r w:rsidRPr="00103DA0">
        <w:rPr>
          <w:rFonts w:eastAsia="Times New Roman" w:cstheme="minorHAnsi"/>
          <w:b/>
          <w:bCs/>
          <w:sz w:val="24"/>
          <w:szCs w:val="24"/>
          <w:lang w:eastAsia="es-PE"/>
        </w:rPr>
        <w:t>Tendencia 9: Persistencia de brechas en la dimensión social</w:t>
      </w:r>
      <w:r w:rsidRPr="00103DA0">
        <w:rPr>
          <w:rFonts w:eastAsia="Times New Roman" w:cstheme="minorHAnsi"/>
          <w:sz w:val="24"/>
          <w:szCs w:val="24"/>
          <w:lang w:eastAsia="es-PE"/>
        </w:rPr>
        <w:br/>
        <w:t>Pese a las declaraciones políticas, pocos países han establecido metas medibles para favorecer el acceso de grupos sociales desfavorecidos. La implementación de medidas efectivas sigue siendo débil y desigual.</w:t>
      </w:r>
      <w:r w:rsidRPr="00103DA0">
        <w:rPr>
          <w:rFonts w:eastAsia="Times New Roman" w:cstheme="minorHAnsi"/>
          <w:sz w:val="24"/>
          <w:szCs w:val="24"/>
          <w:lang w:eastAsia="es-PE"/>
        </w:rPr>
        <w:br/>
      </w:r>
      <w:proofErr w:type="spellStart"/>
      <w:r w:rsidRPr="00103DA0">
        <w:rPr>
          <w:rFonts w:eastAsia="Times New Roman" w:cstheme="minorHAnsi"/>
          <w:i/>
          <w:iCs/>
          <w:sz w:val="24"/>
          <w:szCs w:val="24"/>
          <w:lang w:val="en-US" w:eastAsia="es-PE"/>
        </w:rPr>
        <w:t>Cita</w:t>
      </w:r>
      <w:proofErr w:type="spellEnd"/>
      <w:r w:rsidRPr="00103DA0">
        <w:rPr>
          <w:rFonts w:eastAsia="Times New Roman" w:cstheme="minorHAnsi"/>
          <w:i/>
          <w:iCs/>
          <w:sz w:val="24"/>
          <w:szCs w:val="24"/>
          <w:lang w:val="en-US" w:eastAsia="es-PE"/>
        </w:rPr>
        <w:t>: “Findings on monitoring suggest that there is still a great deal of progress to be made.”</w:t>
      </w:r>
      <w:r w:rsidRPr="00103DA0">
        <w:rPr>
          <w:rFonts w:eastAsia="Times New Roman" w:cstheme="minorHAnsi"/>
          <w:sz w:val="24"/>
          <w:szCs w:val="24"/>
          <w:lang w:val="en-US" w:eastAsia="es-PE"/>
        </w:rPr>
        <w:t xml:space="preserve"> </w:t>
      </w:r>
      <w:r w:rsidRPr="00103DA0">
        <w:rPr>
          <w:rFonts w:eastAsia="Times New Roman" w:cstheme="minorHAnsi"/>
          <w:sz w:val="24"/>
          <w:szCs w:val="24"/>
          <w:lang w:eastAsia="es-PE"/>
        </w:rPr>
        <w:t>(p. 12)</w:t>
      </w:r>
    </w:p>
    <w:p w14:paraId="30880B1B" w14:textId="77777777" w:rsidR="00103DA0" w:rsidRPr="00103DA0" w:rsidRDefault="00103DA0" w:rsidP="00103DA0">
      <w:pPr>
        <w:spacing w:before="100" w:beforeAutospacing="1" w:after="100" w:afterAutospacing="1" w:line="240" w:lineRule="auto"/>
        <w:jc w:val="both"/>
        <w:outlineLvl w:val="2"/>
        <w:rPr>
          <w:rFonts w:eastAsia="Times New Roman" w:cstheme="minorHAnsi"/>
          <w:b/>
          <w:bCs/>
          <w:sz w:val="24"/>
          <w:szCs w:val="24"/>
          <w:lang w:val="en-US" w:eastAsia="es-PE"/>
        </w:rPr>
      </w:pPr>
      <w:proofErr w:type="spellStart"/>
      <w:r w:rsidRPr="00103DA0">
        <w:rPr>
          <w:rFonts w:eastAsia="Times New Roman" w:cstheme="minorHAnsi"/>
          <w:b/>
          <w:bCs/>
          <w:sz w:val="24"/>
          <w:szCs w:val="24"/>
          <w:lang w:val="en-US" w:eastAsia="es-PE"/>
        </w:rPr>
        <w:t>Capítulo</w:t>
      </w:r>
      <w:proofErr w:type="spellEnd"/>
      <w:r w:rsidRPr="00103DA0">
        <w:rPr>
          <w:rFonts w:eastAsia="Times New Roman" w:cstheme="minorHAnsi"/>
          <w:b/>
          <w:bCs/>
          <w:sz w:val="24"/>
          <w:szCs w:val="24"/>
          <w:lang w:val="en-US" w:eastAsia="es-PE"/>
        </w:rPr>
        <w:t xml:space="preserve"> 4: The Cost of Higher Education in the EU</w:t>
      </w:r>
    </w:p>
    <w:p w14:paraId="6E1ED0F0" w14:textId="77777777" w:rsidR="00103DA0" w:rsidRPr="00103DA0" w:rsidRDefault="00103DA0" w:rsidP="00103DA0">
      <w:pPr>
        <w:spacing w:before="100" w:beforeAutospacing="1" w:after="100" w:afterAutospacing="1" w:line="240" w:lineRule="auto"/>
        <w:jc w:val="both"/>
        <w:rPr>
          <w:rFonts w:eastAsia="Times New Roman" w:cstheme="minorHAnsi"/>
          <w:sz w:val="24"/>
          <w:szCs w:val="24"/>
          <w:lang w:eastAsia="es-PE"/>
        </w:rPr>
      </w:pPr>
      <w:r w:rsidRPr="00103DA0">
        <w:rPr>
          <w:rFonts w:eastAsia="Times New Roman" w:cstheme="minorHAnsi"/>
          <w:b/>
          <w:bCs/>
          <w:sz w:val="24"/>
          <w:szCs w:val="24"/>
          <w:lang w:eastAsia="es-PE"/>
        </w:rPr>
        <w:t>Tendencia 10: Avance de modelos de financiamiento compartido (</w:t>
      </w:r>
      <w:proofErr w:type="spellStart"/>
      <w:r w:rsidRPr="00103DA0">
        <w:rPr>
          <w:rFonts w:eastAsia="Times New Roman" w:cstheme="minorHAnsi"/>
          <w:b/>
          <w:bCs/>
          <w:sz w:val="24"/>
          <w:szCs w:val="24"/>
          <w:lang w:eastAsia="es-PE"/>
        </w:rPr>
        <w:t>cost-sharing</w:t>
      </w:r>
      <w:proofErr w:type="spellEnd"/>
      <w:r w:rsidRPr="00103DA0">
        <w:rPr>
          <w:rFonts w:eastAsia="Times New Roman" w:cstheme="minorHAnsi"/>
          <w:b/>
          <w:bCs/>
          <w:sz w:val="24"/>
          <w:szCs w:val="24"/>
          <w:lang w:eastAsia="es-PE"/>
        </w:rPr>
        <w:t>)</w:t>
      </w:r>
      <w:r w:rsidRPr="00103DA0">
        <w:rPr>
          <w:rFonts w:eastAsia="Times New Roman" w:cstheme="minorHAnsi"/>
          <w:sz w:val="24"/>
          <w:szCs w:val="24"/>
          <w:lang w:eastAsia="es-PE"/>
        </w:rPr>
        <w:br/>
        <w:t>Frente a restricciones presupuestarias, algunos países han incrementado la participación financiera de estudiantes y familias. Este cambio busca sostener la calidad educativa, pero plantea dilemas sobre equidad.</w:t>
      </w:r>
      <w:r w:rsidRPr="00103DA0">
        <w:rPr>
          <w:rFonts w:eastAsia="Times New Roman" w:cstheme="minorHAnsi"/>
          <w:sz w:val="24"/>
          <w:szCs w:val="24"/>
          <w:lang w:eastAsia="es-PE"/>
        </w:rPr>
        <w:br/>
      </w:r>
      <w:proofErr w:type="spellStart"/>
      <w:r w:rsidRPr="00103DA0">
        <w:rPr>
          <w:rFonts w:eastAsia="Times New Roman" w:cstheme="minorHAnsi"/>
          <w:i/>
          <w:iCs/>
          <w:sz w:val="24"/>
          <w:szCs w:val="24"/>
          <w:lang w:val="en-US" w:eastAsia="es-PE"/>
        </w:rPr>
        <w:t>Cita</w:t>
      </w:r>
      <w:proofErr w:type="spellEnd"/>
      <w:r w:rsidRPr="00103DA0">
        <w:rPr>
          <w:rFonts w:eastAsia="Times New Roman" w:cstheme="minorHAnsi"/>
          <w:i/>
          <w:iCs/>
          <w:sz w:val="24"/>
          <w:szCs w:val="24"/>
          <w:lang w:val="en-US" w:eastAsia="es-PE"/>
        </w:rPr>
        <w:t>: “Many governments have shifted part of the cost of higher education to students and their families.”</w:t>
      </w:r>
      <w:r w:rsidRPr="00103DA0">
        <w:rPr>
          <w:rFonts w:eastAsia="Times New Roman" w:cstheme="minorHAnsi"/>
          <w:sz w:val="24"/>
          <w:szCs w:val="24"/>
          <w:lang w:val="en-US" w:eastAsia="es-PE"/>
        </w:rPr>
        <w:t xml:space="preserve"> </w:t>
      </w:r>
      <w:r w:rsidRPr="00103DA0">
        <w:rPr>
          <w:rFonts w:eastAsia="Times New Roman" w:cstheme="minorHAnsi"/>
          <w:sz w:val="24"/>
          <w:szCs w:val="24"/>
          <w:lang w:eastAsia="es-PE"/>
        </w:rPr>
        <w:t>(p. 23)</w:t>
      </w:r>
    </w:p>
    <w:p w14:paraId="2F4287FE" w14:textId="77777777" w:rsidR="00103DA0" w:rsidRPr="00103DA0" w:rsidRDefault="00103DA0" w:rsidP="00103DA0">
      <w:pPr>
        <w:spacing w:before="100" w:beforeAutospacing="1" w:after="100" w:afterAutospacing="1" w:line="240" w:lineRule="auto"/>
        <w:jc w:val="both"/>
        <w:rPr>
          <w:rFonts w:eastAsia="Times New Roman" w:cstheme="minorHAnsi"/>
          <w:sz w:val="24"/>
          <w:szCs w:val="24"/>
          <w:lang w:eastAsia="es-PE"/>
        </w:rPr>
      </w:pPr>
      <w:r w:rsidRPr="00103DA0">
        <w:rPr>
          <w:rFonts w:eastAsia="Times New Roman" w:cstheme="minorHAnsi"/>
          <w:b/>
          <w:bCs/>
          <w:sz w:val="24"/>
          <w:szCs w:val="24"/>
          <w:lang w:eastAsia="es-PE"/>
        </w:rPr>
        <w:t>Tendencia 11: Diversidad de esquemas de ayuda estudiantil</w:t>
      </w:r>
      <w:r w:rsidRPr="00103DA0">
        <w:rPr>
          <w:rFonts w:eastAsia="Times New Roman" w:cstheme="minorHAnsi"/>
          <w:sz w:val="24"/>
          <w:szCs w:val="24"/>
          <w:lang w:eastAsia="es-PE"/>
        </w:rPr>
        <w:br/>
        <w:t xml:space="preserve">Existen sistemas mixtos de becas, préstamos y exoneraciones. Algunos países como los nórdicos sostienen una gratuidad total; otros, como el Reino Unido, aplican modelos de alto costo con devolución </w:t>
      </w:r>
      <w:proofErr w:type="spellStart"/>
      <w:r w:rsidRPr="00103DA0">
        <w:rPr>
          <w:rFonts w:eastAsia="Times New Roman" w:cstheme="minorHAnsi"/>
          <w:sz w:val="24"/>
          <w:szCs w:val="24"/>
          <w:lang w:eastAsia="es-PE"/>
        </w:rPr>
        <w:t>post-estudios</w:t>
      </w:r>
      <w:proofErr w:type="spellEnd"/>
      <w:r w:rsidRPr="00103DA0">
        <w:rPr>
          <w:rFonts w:eastAsia="Times New Roman" w:cstheme="minorHAnsi"/>
          <w:sz w:val="24"/>
          <w:szCs w:val="24"/>
          <w:lang w:eastAsia="es-PE"/>
        </w:rPr>
        <w:t>.</w:t>
      </w:r>
      <w:r w:rsidRPr="00103DA0">
        <w:rPr>
          <w:rFonts w:eastAsia="Times New Roman" w:cstheme="minorHAnsi"/>
          <w:sz w:val="24"/>
          <w:szCs w:val="24"/>
          <w:lang w:eastAsia="es-PE"/>
        </w:rPr>
        <w:br/>
      </w:r>
      <w:proofErr w:type="spellStart"/>
      <w:r w:rsidRPr="00103DA0">
        <w:rPr>
          <w:rFonts w:eastAsia="Times New Roman" w:cstheme="minorHAnsi"/>
          <w:i/>
          <w:iCs/>
          <w:sz w:val="24"/>
          <w:szCs w:val="24"/>
          <w:lang w:val="en-US" w:eastAsia="es-PE"/>
        </w:rPr>
        <w:t>Cita</w:t>
      </w:r>
      <w:proofErr w:type="spellEnd"/>
      <w:r w:rsidRPr="00103DA0">
        <w:rPr>
          <w:rFonts w:eastAsia="Times New Roman" w:cstheme="minorHAnsi"/>
          <w:i/>
          <w:iCs/>
          <w:sz w:val="24"/>
          <w:szCs w:val="24"/>
          <w:lang w:val="en-US" w:eastAsia="es-PE"/>
        </w:rPr>
        <w:t>: “There is a wide variation in student support systems across Europe.”</w:t>
      </w:r>
      <w:r w:rsidRPr="00103DA0">
        <w:rPr>
          <w:rFonts w:eastAsia="Times New Roman" w:cstheme="minorHAnsi"/>
          <w:sz w:val="24"/>
          <w:szCs w:val="24"/>
          <w:lang w:val="en-US" w:eastAsia="es-PE"/>
        </w:rPr>
        <w:t xml:space="preserve"> </w:t>
      </w:r>
      <w:r w:rsidRPr="00103DA0">
        <w:rPr>
          <w:rFonts w:eastAsia="Times New Roman" w:cstheme="minorHAnsi"/>
          <w:sz w:val="24"/>
          <w:szCs w:val="24"/>
          <w:lang w:eastAsia="es-PE"/>
        </w:rPr>
        <w:t>(p. 25)</w:t>
      </w:r>
    </w:p>
    <w:p w14:paraId="78D7DD62" w14:textId="77777777" w:rsidR="00103DA0" w:rsidRPr="00103DA0" w:rsidRDefault="00103DA0" w:rsidP="00103DA0">
      <w:pPr>
        <w:spacing w:before="100" w:beforeAutospacing="1" w:after="100" w:afterAutospacing="1" w:line="240" w:lineRule="auto"/>
        <w:jc w:val="both"/>
        <w:outlineLvl w:val="2"/>
        <w:rPr>
          <w:rFonts w:eastAsia="Times New Roman" w:cstheme="minorHAnsi"/>
          <w:b/>
          <w:bCs/>
          <w:sz w:val="24"/>
          <w:szCs w:val="24"/>
          <w:lang w:eastAsia="es-PE"/>
        </w:rPr>
      </w:pPr>
      <w:r w:rsidRPr="00103DA0">
        <w:rPr>
          <w:rFonts w:eastAsia="Times New Roman" w:cstheme="minorHAnsi"/>
          <w:b/>
          <w:bCs/>
          <w:sz w:val="24"/>
          <w:szCs w:val="24"/>
          <w:lang w:eastAsia="es-PE"/>
        </w:rPr>
        <w:t xml:space="preserve">Capítulo 5: </w:t>
      </w:r>
      <w:proofErr w:type="spellStart"/>
      <w:r w:rsidRPr="00103DA0">
        <w:rPr>
          <w:rFonts w:eastAsia="Times New Roman" w:cstheme="minorHAnsi"/>
          <w:b/>
          <w:bCs/>
          <w:sz w:val="24"/>
          <w:szCs w:val="24"/>
          <w:lang w:eastAsia="es-PE"/>
        </w:rPr>
        <w:t>University</w:t>
      </w:r>
      <w:proofErr w:type="spellEnd"/>
      <w:r w:rsidRPr="00103DA0">
        <w:rPr>
          <w:rFonts w:eastAsia="Times New Roman" w:cstheme="minorHAnsi"/>
          <w:b/>
          <w:bCs/>
          <w:sz w:val="24"/>
          <w:szCs w:val="24"/>
          <w:lang w:eastAsia="es-PE"/>
        </w:rPr>
        <w:t xml:space="preserve"> Ranking </w:t>
      </w:r>
      <w:proofErr w:type="spellStart"/>
      <w:r w:rsidRPr="00103DA0">
        <w:rPr>
          <w:rFonts w:eastAsia="Times New Roman" w:cstheme="minorHAnsi"/>
          <w:b/>
          <w:bCs/>
          <w:sz w:val="24"/>
          <w:szCs w:val="24"/>
          <w:lang w:eastAsia="es-PE"/>
        </w:rPr>
        <w:t>Systems</w:t>
      </w:r>
      <w:proofErr w:type="spellEnd"/>
    </w:p>
    <w:p w14:paraId="0C54EC12" w14:textId="77777777" w:rsidR="00103DA0" w:rsidRPr="00103DA0" w:rsidRDefault="00103DA0" w:rsidP="00103DA0">
      <w:pPr>
        <w:spacing w:before="100" w:beforeAutospacing="1" w:after="100" w:afterAutospacing="1" w:line="240" w:lineRule="auto"/>
        <w:jc w:val="both"/>
        <w:rPr>
          <w:rFonts w:eastAsia="Times New Roman" w:cstheme="minorHAnsi"/>
          <w:sz w:val="24"/>
          <w:szCs w:val="24"/>
          <w:lang w:eastAsia="es-PE"/>
        </w:rPr>
      </w:pPr>
      <w:r w:rsidRPr="00103DA0">
        <w:rPr>
          <w:rFonts w:eastAsia="Times New Roman" w:cstheme="minorHAnsi"/>
          <w:b/>
          <w:bCs/>
          <w:sz w:val="24"/>
          <w:szCs w:val="24"/>
          <w:lang w:eastAsia="es-PE"/>
        </w:rPr>
        <w:t>Tendencia 12: Expansión de los rankings globales como instrumentos de presión competitiva</w:t>
      </w:r>
      <w:r w:rsidRPr="00103DA0">
        <w:rPr>
          <w:rFonts w:eastAsia="Times New Roman" w:cstheme="minorHAnsi"/>
          <w:sz w:val="24"/>
          <w:szCs w:val="24"/>
          <w:lang w:eastAsia="es-PE"/>
        </w:rPr>
        <w:br/>
        <w:t>Aunque los rankings promueven transparencia y comparación, tienden a privilegiar la investigación sobre la enseñanza y otros aspectos.</w:t>
      </w:r>
      <w:r w:rsidRPr="00103DA0">
        <w:rPr>
          <w:rFonts w:eastAsia="Times New Roman" w:cstheme="minorHAnsi"/>
          <w:sz w:val="24"/>
          <w:szCs w:val="24"/>
          <w:lang w:eastAsia="es-PE"/>
        </w:rPr>
        <w:br/>
      </w:r>
      <w:proofErr w:type="spellStart"/>
      <w:r w:rsidRPr="00103DA0">
        <w:rPr>
          <w:rFonts w:eastAsia="Times New Roman" w:cstheme="minorHAnsi"/>
          <w:i/>
          <w:iCs/>
          <w:sz w:val="24"/>
          <w:szCs w:val="24"/>
          <w:lang w:val="en-US" w:eastAsia="es-PE"/>
        </w:rPr>
        <w:lastRenderedPageBreak/>
        <w:t>Cita</w:t>
      </w:r>
      <w:proofErr w:type="spellEnd"/>
      <w:r w:rsidRPr="00103DA0">
        <w:rPr>
          <w:rFonts w:eastAsia="Times New Roman" w:cstheme="minorHAnsi"/>
          <w:i/>
          <w:iCs/>
          <w:sz w:val="24"/>
          <w:szCs w:val="24"/>
          <w:lang w:val="en-US" w:eastAsia="es-PE"/>
        </w:rPr>
        <w:t>: “There is concern that rankings distort university missions by focusing narrowly on research output.”</w:t>
      </w:r>
      <w:r w:rsidRPr="00103DA0">
        <w:rPr>
          <w:rFonts w:eastAsia="Times New Roman" w:cstheme="minorHAnsi"/>
          <w:sz w:val="24"/>
          <w:szCs w:val="24"/>
          <w:lang w:val="en-US" w:eastAsia="es-PE"/>
        </w:rPr>
        <w:t xml:space="preserve"> </w:t>
      </w:r>
      <w:r w:rsidRPr="00103DA0">
        <w:rPr>
          <w:rFonts w:eastAsia="Times New Roman" w:cstheme="minorHAnsi"/>
          <w:sz w:val="24"/>
          <w:szCs w:val="24"/>
          <w:lang w:eastAsia="es-PE"/>
        </w:rPr>
        <w:t>(p. 28)</w:t>
      </w:r>
    </w:p>
    <w:p w14:paraId="30F11E92" w14:textId="77777777" w:rsidR="00103DA0" w:rsidRPr="00103DA0" w:rsidRDefault="00103DA0" w:rsidP="00103DA0">
      <w:pPr>
        <w:spacing w:before="100" w:beforeAutospacing="1" w:after="100" w:afterAutospacing="1" w:line="240" w:lineRule="auto"/>
        <w:jc w:val="both"/>
        <w:rPr>
          <w:rFonts w:eastAsia="Times New Roman" w:cstheme="minorHAnsi"/>
          <w:sz w:val="24"/>
          <w:szCs w:val="24"/>
          <w:lang w:eastAsia="es-PE"/>
        </w:rPr>
      </w:pPr>
      <w:r w:rsidRPr="00103DA0">
        <w:rPr>
          <w:rFonts w:eastAsia="Times New Roman" w:cstheme="minorHAnsi"/>
          <w:b/>
          <w:bCs/>
          <w:sz w:val="24"/>
          <w:szCs w:val="24"/>
          <w:lang w:eastAsia="es-PE"/>
        </w:rPr>
        <w:t>Tendencia 13: Impulso europeo a rankings alternativos (U-</w:t>
      </w:r>
      <w:proofErr w:type="spellStart"/>
      <w:r w:rsidRPr="00103DA0">
        <w:rPr>
          <w:rFonts w:eastAsia="Times New Roman" w:cstheme="minorHAnsi"/>
          <w:b/>
          <w:bCs/>
          <w:sz w:val="24"/>
          <w:szCs w:val="24"/>
          <w:lang w:eastAsia="es-PE"/>
        </w:rPr>
        <w:t>Multirank</w:t>
      </w:r>
      <w:proofErr w:type="spellEnd"/>
      <w:r w:rsidRPr="00103DA0">
        <w:rPr>
          <w:rFonts w:eastAsia="Times New Roman" w:cstheme="minorHAnsi"/>
          <w:b/>
          <w:bCs/>
          <w:sz w:val="24"/>
          <w:szCs w:val="24"/>
          <w:lang w:eastAsia="es-PE"/>
        </w:rPr>
        <w:t>)</w:t>
      </w:r>
      <w:r w:rsidRPr="00103DA0">
        <w:rPr>
          <w:rFonts w:eastAsia="Times New Roman" w:cstheme="minorHAnsi"/>
          <w:sz w:val="24"/>
          <w:szCs w:val="24"/>
          <w:lang w:eastAsia="es-PE"/>
        </w:rPr>
        <w:br/>
        <w:t>La UE ha desarrollado U-</w:t>
      </w:r>
      <w:proofErr w:type="spellStart"/>
      <w:r w:rsidRPr="00103DA0">
        <w:rPr>
          <w:rFonts w:eastAsia="Times New Roman" w:cstheme="minorHAnsi"/>
          <w:sz w:val="24"/>
          <w:szCs w:val="24"/>
          <w:lang w:eastAsia="es-PE"/>
        </w:rPr>
        <w:t>Multirank</w:t>
      </w:r>
      <w:proofErr w:type="spellEnd"/>
      <w:r w:rsidRPr="00103DA0">
        <w:rPr>
          <w:rFonts w:eastAsia="Times New Roman" w:cstheme="minorHAnsi"/>
          <w:sz w:val="24"/>
          <w:szCs w:val="24"/>
          <w:lang w:eastAsia="es-PE"/>
        </w:rPr>
        <w:t xml:space="preserve"> para ofrecer una visión más equilibrada que incluya múltiples dimensiones (enseñanza, internacionalización, etc.) y no solo investigación.</w:t>
      </w:r>
      <w:r w:rsidRPr="00103DA0">
        <w:rPr>
          <w:rFonts w:eastAsia="Times New Roman" w:cstheme="minorHAnsi"/>
          <w:sz w:val="24"/>
          <w:szCs w:val="24"/>
          <w:lang w:eastAsia="es-PE"/>
        </w:rPr>
        <w:br/>
      </w:r>
      <w:proofErr w:type="spellStart"/>
      <w:r w:rsidRPr="00103DA0">
        <w:rPr>
          <w:rFonts w:eastAsia="Times New Roman" w:cstheme="minorHAnsi"/>
          <w:i/>
          <w:iCs/>
          <w:sz w:val="24"/>
          <w:szCs w:val="24"/>
          <w:lang w:val="en-US" w:eastAsia="es-PE"/>
        </w:rPr>
        <w:t>Cita</w:t>
      </w:r>
      <w:proofErr w:type="spellEnd"/>
      <w:r w:rsidRPr="00103DA0">
        <w:rPr>
          <w:rFonts w:eastAsia="Times New Roman" w:cstheme="minorHAnsi"/>
          <w:i/>
          <w:iCs/>
          <w:sz w:val="24"/>
          <w:szCs w:val="24"/>
          <w:lang w:val="en-US" w:eastAsia="es-PE"/>
        </w:rPr>
        <w:t>: “U-</w:t>
      </w:r>
      <w:proofErr w:type="spellStart"/>
      <w:r w:rsidRPr="00103DA0">
        <w:rPr>
          <w:rFonts w:eastAsia="Times New Roman" w:cstheme="minorHAnsi"/>
          <w:i/>
          <w:iCs/>
          <w:sz w:val="24"/>
          <w:szCs w:val="24"/>
          <w:lang w:val="en-US" w:eastAsia="es-PE"/>
        </w:rPr>
        <w:t>Multirank</w:t>
      </w:r>
      <w:proofErr w:type="spellEnd"/>
      <w:r w:rsidRPr="00103DA0">
        <w:rPr>
          <w:rFonts w:eastAsia="Times New Roman" w:cstheme="minorHAnsi"/>
          <w:i/>
          <w:iCs/>
          <w:sz w:val="24"/>
          <w:szCs w:val="24"/>
          <w:lang w:val="en-US" w:eastAsia="es-PE"/>
        </w:rPr>
        <w:t xml:space="preserve"> […] aims to avoid the biases of existing rankings by providing a multidimensional view.”</w:t>
      </w:r>
      <w:r w:rsidRPr="00103DA0">
        <w:rPr>
          <w:rFonts w:eastAsia="Times New Roman" w:cstheme="minorHAnsi"/>
          <w:sz w:val="24"/>
          <w:szCs w:val="24"/>
          <w:lang w:val="en-US" w:eastAsia="es-PE"/>
        </w:rPr>
        <w:t xml:space="preserve"> </w:t>
      </w:r>
      <w:r w:rsidRPr="00103DA0">
        <w:rPr>
          <w:rFonts w:eastAsia="Times New Roman" w:cstheme="minorHAnsi"/>
          <w:sz w:val="24"/>
          <w:szCs w:val="24"/>
          <w:lang w:eastAsia="es-PE"/>
        </w:rPr>
        <w:t>(p. 29)</w:t>
      </w:r>
    </w:p>
    <w:p w14:paraId="6D9A2F0B" w14:textId="77777777" w:rsidR="00103DA0" w:rsidRPr="00103DA0" w:rsidRDefault="00103DA0" w:rsidP="00103DA0">
      <w:pPr>
        <w:spacing w:before="100" w:beforeAutospacing="1" w:after="100" w:afterAutospacing="1" w:line="240" w:lineRule="auto"/>
        <w:jc w:val="both"/>
        <w:outlineLvl w:val="2"/>
        <w:rPr>
          <w:rFonts w:eastAsia="Times New Roman" w:cstheme="minorHAnsi"/>
          <w:b/>
          <w:bCs/>
          <w:sz w:val="24"/>
          <w:szCs w:val="24"/>
          <w:lang w:val="en-US" w:eastAsia="es-PE"/>
        </w:rPr>
      </w:pPr>
      <w:proofErr w:type="spellStart"/>
      <w:r w:rsidRPr="00103DA0">
        <w:rPr>
          <w:rFonts w:eastAsia="Times New Roman" w:cstheme="minorHAnsi"/>
          <w:b/>
          <w:bCs/>
          <w:sz w:val="24"/>
          <w:szCs w:val="24"/>
          <w:lang w:val="en-US" w:eastAsia="es-PE"/>
        </w:rPr>
        <w:t>Capítulo</w:t>
      </w:r>
      <w:proofErr w:type="spellEnd"/>
      <w:r w:rsidRPr="00103DA0">
        <w:rPr>
          <w:rFonts w:eastAsia="Times New Roman" w:cstheme="minorHAnsi"/>
          <w:b/>
          <w:bCs/>
          <w:sz w:val="24"/>
          <w:szCs w:val="24"/>
          <w:lang w:val="en-US" w:eastAsia="es-PE"/>
        </w:rPr>
        <w:t xml:space="preserve"> 6: New Modes and Models of Higher Education Delivery</w:t>
      </w:r>
    </w:p>
    <w:p w14:paraId="4F0B9C5A" w14:textId="77777777" w:rsidR="00103DA0" w:rsidRPr="00103DA0" w:rsidRDefault="00103DA0" w:rsidP="00103DA0">
      <w:pPr>
        <w:spacing w:before="100" w:beforeAutospacing="1" w:after="100" w:afterAutospacing="1" w:line="240" w:lineRule="auto"/>
        <w:jc w:val="both"/>
        <w:rPr>
          <w:rFonts w:eastAsia="Times New Roman" w:cstheme="minorHAnsi"/>
          <w:sz w:val="24"/>
          <w:szCs w:val="24"/>
          <w:lang w:eastAsia="es-PE"/>
        </w:rPr>
      </w:pPr>
      <w:r w:rsidRPr="00103DA0">
        <w:rPr>
          <w:rFonts w:eastAsia="Times New Roman" w:cstheme="minorHAnsi"/>
          <w:b/>
          <w:bCs/>
          <w:sz w:val="24"/>
          <w:szCs w:val="24"/>
          <w:lang w:eastAsia="es-PE"/>
        </w:rPr>
        <w:t>Tendencia 14: Emergencia de modelos digitales y aprendizaje flexible</w:t>
      </w:r>
      <w:r w:rsidRPr="00103DA0">
        <w:rPr>
          <w:rFonts w:eastAsia="Times New Roman" w:cstheme="minorHAnsi"/>
          <w:sz w:val="24"/>
          <w:szCs w:val="24"/>
          <w:lang w:eastAsia="es-PE"/>
        </w:rPr>
        <w:br/>
        <w:t xml:space="preserve">Los </w:t>
      </w:r>
      <w:proofErr w:type="spellStart"/>
      <w:r w:rsidRPr="00103DA0">
        <w:rPr>
          <w:rFonts w:eastAsia="Times New Roman" w:cstheme="minorHAnsi"/>
          <w:sz w:val="24"/>
          <w:szCs w:val="24"/>
          <w:lang w:eastAsia="es-PE"/>
        </w:rPr>
        <w:t>MOOCs</w:t>
      </w:r>
      <w:proofErr w:type="spellEnd"/>
      <w:r w:rsidRPr="00103DA0">
        <w:rPr>
          <w:rFonts w:eastAsia="Times New Roman" w:cstheme="minorHAnsi"/>
          <w:sz w:val="24"/>
          <w:szCs w:val="24"/>
          <w:lang w:eastAsia="es-PE"/>
        </w:rPr>
        <w:t xml:space="preserve"> y recursos educativos abiertos (OER) prometen democratizar el acceso y reducir costos. </w:t>
      </w:r>
      <w:r w:rsidRPr="00103DA0">
        <w:rPr>
          <w:rFonts w:eastAsia="Times New Roman" w:cstheme="minorHAnsi"/>
          <w:sz w:val="24"/>
          <w:szCs w:val="24"/>
          <w:lang w:val="en-US" w:eastAsia="es-PE"/>
        </w:rPr>
        <w:t xml:space="preserve">No obstante, se </w:t>
      </w:r>
      <w:proofErr w:type="spellStart"/>
      <w:r w:rsidRPr="00103DA0">
        <w:rPr>
          <w:rFonts w:eastAsia="Times New Roman" w:cstheme="minorHAnsi"/>
          <w:sz w:val="24"/>
          <w:szCs w:val="24"/>
          <w:lang w:val="en-US" w:eastAsia="es-PE"/>
        </w:rPr>
        <w:t>cuestiona</w:t>
      </w:r>
      <w:proofErr w:type="spellEnd"/>
      <w:r w:rsidRPr="00103DA0">
        <w:rPr>
          <w:rFonts w:eastAsia="Times New Roman" w:cstheme="minorHAnsi"/>
          <w:sz w:val="24"/>
          <w:szCs w:val="24"/>
          <w:lang w:val="en-US" w:eastAsia="es-PE"/>
        </w:rPr>
        <w:t xml:space="preserve"> </w:t>
      </w:r>
      <w:proofErr w:type="spellStart"/>
      <w:r w:rsidRPr="00103DA0">
        <w:rPr>
          <w:rFonts w:eastAsia="Times New Roman" w:cstheme="minorHAnsi"/>
          <w:sz w:val="24"/>
          <w:szCs w:val="24"/>
          <w:lang w:val="en-US" w:eastAsia="es-PE"/>
        </w:rPr>
        <w:t>su</w:t>
      </w:r>
      <w:proofErr w:type="spellEnd"/>
      <w:r w:rsidRPr="00103DA0">
        <w:rPr>
          <w:rFonts w:eastAsia="Times New Roman" w:cstheme="minorHAnsi"/>
          <w:sz w:val="24"/>
          <w:szCs w:val="24"/>
          <w:lang w:val="en-US" w:eastAsia="es-PE"/>
        </w:rPr>
        <w:t xml:space="preserve"> </w:t>
      </w:r>
      <w:proofErr w:type="spellStart"/>
      <w:r w:rsidRPr="00103DA0">
        <w:rPr>
          <w:rFonts w:eastAsia="Times New Roman" w:cstheme="minorHAnsi"/>
          <w:sz w:val="24"/>
          <w:szCs w:val="24"/>
          <w:lang w:val="en-US" w:eastAsia="es-PE"/>
        </w:rPr>
        <w:t>impacto</w:t>
      </w:r>
      <w:proofErr w:type="spellEnd"/>
      <w:r w:rsidRPr="00103DA0">
        <w:rPr>
          <w:rFonts w:eastAsia="Times New Roman" w:cstheme="minorHAnsi"/>
          <w:sz w:val="24"/>
          <w:szCs w:val="24"/>
          <w:lang w:val="en-US" w:eastAsia="es-PE"/>
        </w:rPr>
        <w:t xml:space="preserve"> real </w:t>
      </w:r>
      <w:proofErr w:type="spellStart"/>
      <w:r w:rsidRPr="00103DA0">
        <w:rPr>
          <w:rFonts w:eastAsia="Times New Roman" w:cstheme="minorHAnsi"/>
          <w:sz w:val="24"/>
          <w:szCs w:val="24"/>
          <w:lang w:val="en-US" w:eastAsia="es-PE"/>
        </w:rPr>
        <w:t>en</w:t>
      </w:r>
      <w:proofErr w:type="spellEnd"/>
      <w:r w:rsidRPr="00103DA0">
        <w:rPr>
          <w:rFonts w:eastAsia="Times New Roman" w:cstheme="minorHAnsi"/>
          <w:sz w:val="24"/>
          <w:szCs w:val="24"/>
          <w:lang w:val="en-US" w:eastAsia="es-PE"/>
        </w:rPr>
        <w:t xml:space="preserve"> </w:t>
      </w:r>
      <w:proofErr w:type="spellStart"/>
      <w:r w:rsidRPr="00103DA0">
        <w:rPr>
          <w:rFonts w:eastAsia="Times New Roman" w:cstheme="minorHAnsi"/>
          <w:sz w:val="24"/>
          <w:szCs w:val="24"/>
          <w:lang w:val="en-US" w:eastAsia="es-PE"/>
        </w:rPr>
        <w:t>calidad</w:t>
      </w:r>
      <w:proofErr w:type="spellEnd"/>
      <w:r w:rsidRPr="00103DA0">
        <w:rPr>
          <w:rFonts w:eastAsia="Times New Roman" w:cstheme="minorHAnsi"/>
          <w:sz w:val="24"/>
          <w:szCs w:val="24"/>
          <w:lang w:val="en-US" w:eastAsia="es-PE"/>
        </w:rPr>
        <w:t>.</w:t>
      </w:r>
      <w:r w:rsidRPr="00103DA0">
        <w:rPr>
          <w:rFonts w:eastAsia="Times New Roman" w:cstheme="minorHAnsi"/>
          <w:sz w:val="24"/>
          <w:szCs w:val="24"/>
          <w:lang w:val="en-US" w:eastAsia="es-PE"/>
        </w:rPr>
        <w:br/>
      </w:r>
      <w:proofErr w:type="spellStart"/>
      <w:r w:rsidRPr="00103DA0">
        <w:rPr>
          <w:rFonts w:eastAsia="Times New Roman" w:cstheme="minorHAnsi"/>
          <w:i/>
          <w:iCs/>
          <w:sz w:val="24"/>
          <w:szCs w:val="24"/>
          <w:lang w:val="en-US" w:eastAsia="es-PE"/>
        </w:rPr>
        <w:t>Cita</w:t>
      </w:r>
      <w:proofErr w:type="spellEnd"/>
      <w:r w:rsidRPr="00103DA0">
        <w:rPr>
          <w:rFonts w:eastAsia="Times New Roman" w:cstheme="minorHAnsi"/>
          <w:i/>
          <w:iCs/>
          <w:sz w:val="24"/>
          <w:szCs w:val="24"/>
          <w:lang w:val="en-US" w:eastAsia="es-PE"/>
        </w:rPr>
        <w:t>: “Evidence on the impact of MOOCs on learning outcomes is still limited.”</w:t>
      </w:r>
      <w:r w:rsidRPr="00103DA0">
        <w:rPr>
          <w:rFonts w:eastAsia="Times New Roman" w:cstheme="minorHAnsi"/>
          <w:sz w:val="24"/>
          <w:szCs w:val="24"/>
          <w:lang w:val="en-US" w:eastAsia="es-PE"/>
        </w:rPr>
        <w:t xml:space="preserve"> </w:t>
      </w:r>
      <w:r w:rsidRPr="00103DA0">
        <w:rPr>
          <w:rFonts w:eastAsia="Times New Roman" w:cstheme="minorHAnsi"/>
          <w:sz w:val="24"/>
          <w:szCs w:val="24"/>
          <w:lang w:eastAsia="es-PE"/>
        </w:rPr>
        <w:t>(p. 32)</w:t>
      </w:r>
    </w:p>
    <w:p w14:paraId="0B79FD25" w14:textId="77777777" w:rsidR="00103DA0" w:rsidRPr="00103DA0" w:rsidRDefault="00103DA0" w:rsidP="00103DA0">
      <w:pPr>
        <w:spacing w:before="100" w:beforeAutospacing="1" w:after="100" w:afterAutospacing="1" w:line="240" w:lineRule="auto"/>
        <w:jc w:val="both"/>
        <w:rPr>
          <w:rFonts w:eastAsia="Times New Roman" w:cstheme="minorHAnsi"/>
          <w:sz w:val="24"/>
          <w:szCs w:val="24"/>
          <w:lang w:eastAsia="es-PE"/>
        </w:rPr>
      </w:pPr>
      <w:r w:rsidRPr="00103DA0">
        <w:rPr>
          <w:rFonts w:eastAsia="Times New Roman" w:cstheme="minorHAnsi"/>
          <w:b/>
          <w:bCs/>
          <w:sz w:val="24"/>
          <w:szCs w:val="24"/>
          <w:lang w:eastAsia="es-PE"/>
        </w:rPr>
        <w:t>Tendencia 15: Adopción progresiva del aprendizaje híbrido (</w:t>
      </w:r>
      <w:proofErr w:type="spellStart"/>
      <w:r w:rsidRPr="00103DA0">
        <w:rPr>
          <w:rFonts w:eastAsia="Times New Roman" w:cstheme="minorHAnsi"/>
          <w:b/>
          <w:bCs/>
          <w:sz w:val="24"/>
          <w:szCs w:val="24"/>
          <w:lang w:eastAsia="es-PE"/>
        </w:rPr>
        <w:t>blended</w:t>
      </w:r>
      <w:proofErr w:type="spellEnd"/>
      <w:r w:rsidRPr="00103DA0">
        <w:rPr>
          <w:rFonts w:eastAsia="Times New Roman" w:cstheme="minorHAnsi"/>
          <w:b/>
          <w:bCs/>
          <w:sz w:val="24"/>
          <w:szCs w:val="24"/>
          <w:lang w:eastAsia="es-PE"/>
        </w:rPr>
        <w:t xml:space="preserve"> </w:t>
      </w:r>
      <w:proofErr w:type="spellStart"/>
      <w:r w:rsidRPr="00103DA0">
        <w:rPr>
          <w:rFonts w:eastAsia="Times New Roman" w:cstheme="minorHAnsi"/>
          <w:b/>
          <w:bCs/>
          <w:sz w:val="24"/>
          <w:szCs w:val="24"/>
          <w:lang w:eastAsia="es-PE"/>
        </w:rPr>
        <w:t>learning</w:t>
      </w:r>
      <w:proofErr w:type="spellEnd"/>
      <w:r w:rsidRPr="00103DA0">
        <w:rPr>
          <w:rFonts w:eastAsia="Times New Roman" w:cstheme="minorHAnsi"/>
          <w:b/>
          <w:bCs/>
          <w:sz w:val="24"/>
          <w:szCs w:val="24"/>
          <w:lang w:eastAsia="es-PE"/>
        </w:rPr>
        <w:t>)</w:t>
      </w:r>
      <w:r w:rsidRPr="00103DA0">
        <w:rPr>
          <w:rFonts w:eastAsia="Times New Roman" w:cstheme="minorHAnsi"/>
          <w:sz w:val="24"/>
          <w:szCs w:val="24"/>
          <w:lang w:eastAsia="es-PE"/>
        </w:rPr>
        <w:br/>
        <w:t>Combinar contenidos presenciales con recursos digitales es visto como una opción viable para mantener la calidad y la flexibilidad.</w:t>
      </w:r>
      <w:r w:rsidRPr="00103DA0">
        <w:rPr>
          <w:rFonts w:eastAsia="Times New Roman" w:cstheme="minorHAnsi"/>
          <w:sz w:val="24"/>
          <w:szCs w:val="24"/>
          <w:lang w:eastAsia="es-PE"/>
        </w:rPr>
        <w:br/>
      </w:r>
      <w:proofErr w:type="spellStart"/>
      <w:r w:rsidRPr="00103DA0">
        <w:rPr>
          <w:rFonts w:eastAsia="Times New Roman" w:cstheme="minorHAnsi"/>
          <w:i/>
          <w:iCs/>
          <w:sz w:val="24"/>
          <w:szCs w:val="24"/>
          <w:lang w:val="en-US" w:eastAsia="es-PE"/>
        </w:rPr>
        <w:t>Cita</w:t>
      </w:r>
      <w:proofErr w:type="spellEnd"/>
      <w:r w:rsidRPr="00103DA0">
        <w:rPr>
          <w:rFonts w:eastAsia="Times New Roman" w:cstheme="minorHAnsi"/>
          <w:i/>
          <w:iCs/>
          <w:sz w:val="24"/>
          <w:szCs w:val="24"/>
          <w:lang w:val="en-US" w:eastAsia="es-PE"/>
        </w:rPr>
        <w:t>: “Blended learning – a combination of traditional training with digital online content – is seen by many as the best alternative.”</w:t>
      </w:r>
      <w:r w:rsidRPr="00103DA0">
        <w:rPr>
          <w:rFonts w:eastAsia="Times New Roman" w:cstheme="minorHAnsi"/>
          <w:sz w:val="24"/>
          <w:szCs w:val="24"/>
          <w:lang w:val="en-US" w:eastAsia="es-PE"/>
        </w:rPr>
        <w:t xml:space="preserve"> </w:t>
      </w:r>
      <w:r w:rsidRPr="00103DA0">
        <w:rPr>
          <w:rFonts w:eastAsia="Times New Roman" w:cstheme="minorHAnsi"/>
          <w:sz w:val="24"/>
          <w:szCs w:val="24"/>
          <w:lang w:eastAsia="es-PE"/>
        </w:rPr>
        <w:t>(p. 1)</w:t>
      </w:r>
    </w:p>
    <w:p w14:paraId="79E8E74F" w14:textId="77777777" w:rsidR="00103DA0" w:rsidRPr="00103DA0" w:rsidRDefault="00103DA0" w:rsidP="00103DA0">
      <w:pPr>
        <w:spacing w:before="100" w:beforeAutospacing="1" w:after="100" w:afterAutospacing="1" w:line="240" w:lineRule="auto"/>
        <w:jc w:val="both"/>
        <w:outlineLvl w:val="2"/>
        <w:rPr>
          <w:rFonts w:eastAsia="Times New Roman" w:cstheme="minorHAnsi"/>
          <w:b/>
          <w:bCs/>
          <w:sz w:val="24"/>
          <w:szCs w:val="24"/>
          <w:lang w:eastAsia="es-PE"/>
        </w:rPr>
      </w:pPr>
      <w:r w:rsidRPr="00103DA0">
        <w:rPr>
          <w:rFonts w:eastAsia="Times New Roman" w:cstheme="minorHAnsi"/>
          <w:b/>
          <w:bCs/>
          <w:sz w:val="24"/>
          <w:szCs w:val="24"/>
          <w:lang w:eastAsia="es-PE"/>
        </w:rPr>
        <w:t>Capítulo 7: Outlook</w:t>
      </w:r>
    </w:p>
    <w:p w14:paraId="76FEC1AC" w14:textId="77777777" w:rsidR="00103DA0" w:rsidRPr="00103DA0" w:rsidRDefault="00103DA0" w:rsidP="00103DA0">
      <w:pPr>
        <w:spacing w:before="100" w:beforeAutospacing="1" w:after="100" w:afterAutospacing="1" w:line="240" w:lineRule="auto"/>
        <w:jc w:val="both"/>
        <w:rPr>
          <w:rFonts w:eastAsia="Times New Roman" w:cstheme="minorHAnsi"/>
          <w:sz w:val="24"/>
          <w:szCs w:val="24"/>
          <w:lang w:eastAsia="es-PE"/>
        </w:rPr>
      </w:pPr>
      <w:r w:rsidRPr="00103DA0">
        <w:rPr>
          <w:rFonts w:eastAsia="Times New Roman" w:cstheme="minorHAnsi"/>
          <w:b/>
          <w:bCs/>
          <w:sz w:val="24"/>
          <w:szCs w:val="24"/>
          <w:lang w:eastAsia="es-PE"/>
        </w:rPr>
        <w:t>Tendencia 16: Transformación tecnológica de mediano y largo plazo</w:t>
      </w:r>
      <w:r w:rsidRPr="00103DA0">
        <w:rPr>
          <w:rFonts w:eastAsia="Times New Roman" w:cstheme="minorHAnsi"/>
          <w:sz w:val="24"/>
          <w:szCs w:val="24"/>
          <w:lang w:eastAsia="es-PE"/>
        </w:rPr>
        <w:br/>
        <w:t>Se prevé que la tecnología reconfigurará la educación superior, aunque aún no se conoce plenamente su impacto.</w:t>
      </w:r>
      <w:r w:rsidRPr="00103DA0">
        <w:rPr>
          <w:rFonts w:eastAsia="Times New Roman" w:cstheme="minorHAnsi"/>
          <w:sz w:val="24"/>
          <w:szCs w:val="24"/>
          <w:lang w:eastAsia="es-PE"/>
        </w:rPr>
        <w:br/>
      </w:r>
      <w:proofErr w:type="spellStart"/>
      <w:r w:rsidRPr="00103DA0">
        <w:rPr>
          <w:rFonts w:eastAsia="Times New Roman" w:cstheme="minorHAnsi"/>
          <w:i/>
          <w:iCs/>
          <w:sz w:val="24"/>
          <w:szCs w:val="24"/>
          <w:lang w:val="en-US" w:eastAsia="es-PE"/>
        </w:rPr>
        <w:t>Cita</w:t>
      </w:r>
      <w:proofErr w:type="spellEnd"/>
      <w:r w:rsidRPr="00103DA0">
        <w:rPr>
          <w:rFonts w:eastAsia="Times New Roman" w:cstheme="minorHAnsi"/>
          <w:i/>
          <w:iCs/>
          <w:sz w:val="24"/>
          <w:szCs w:val="24"/>
          <w:lang w:val="en-US" w:eastAsia="es-PE"/>
        </w:rPr>
        <w:t>: “Technological change will radically affect higher education and research in ways that are difficult as yet to predict.”</w:t>
      </w:r>
      <w:r w:rsidRPr="00103DA0">
        <w:rPr>
          <w:rFonts w:eastAsia="Times New Roman" w:cstheme="minorHAnsi"/>
          <w:sz w:val="24"/>
          <w:szCs w:val="24"/>
          <w:lang w:val="en-US" w:eastAsia="es-PE"/>
        </w:rPr>
        <w:t xml:space="preserve"> </w:t>
      </w:r>
      <w:r w:rsidRPr="00103DA0">
        <w:rPr>
          <w:rFonts w:eastAsia="Times New Roman" w:cstheme="minorHAnsi"/>
          <w:sz w:val="24"/>
          <w:szCs w:val="24"/>
          <w:lang w:eastAsia="es-PE"/>
        </w:rPr>
        <w:t>(p. 2)</w:t>
      </w:r>
    </w:p>
    <w:p w14:paraId="2658ECFB" w14:textId="77777777" w:rsidR="00103DA0" w:rsidRPr="00103DA0" w:rsidRDefault="00103DA0" w:rsidP="00103DA0">
      <w:pPr>
        <w:spacing w:before="100" w:beforeAutospacing="1" w:after="100" w:afterAutospacing="1" w:line="240" w:lineRule="auto"/>
        <w:jc w:val="both"/>
        <w:rPr>
          <w:rFonts w:eastAsia="Times New Roman" w:cstheme="minorHAnsi"/>
          <w:sz w:val="24"/>
          <w:szCs w:val="24"/>
          <w:lang w:eastAsia="es-PE"/>
        </w:rPr>
      </w:pPr>
      <w:r w:rsidRPr="00103DA0">
        <w:rPr>
          <w:rFonts w:eastAsia="Times New Roman" w:cstheme="minorHAnsi"/>
          <w:b/>
          <w:bCs/>
          <w:sz w:val="24"/>
          <w:szCs w:val="24"/>
          <w:lang w:eastAsia="es-PE"/>
        </w:rPr>
        <w:t>Tendencia 17: Necesidad de cooperación internacional sostenida</w:t>
      </w:r>
      <w:r w:rsidRPr="00103DA0">
        <w:rPr>
          <w:rFonts w:eastAsia="Times New Roman" w:cstheme="minorHAnsi"/>
          <w:sz w:val="24"/>
          <w:szCs w:val="24"/>
          <w:lang w:eastAsia="es-PE"/>
        </w:rPr>
        <w:br/>
        <w:t>La UE advierte que el éxito futuro dependerá de alianzas internacionales y esfuerzos conjuntos.</w:t>
      </w:r>
      <w:r w:rsidRPr="00103DA0">
        <w:rPr>
          <w:rFonts w:eastAsia="Times New Roman" w:cstheme="minorHAnsi"/>
          <w:sz w:val="24"/>
          <w:szCs w:val="24"/>
          <w:lang w:eastAsia="es-PE"/>
        </w:rPr>
        <w:br/>
      </w:r>
      <w:proofErr w:type="spellStart"/>
      <w:r w:rsidRPr="00103DA0">
        <w:rPr>
          <w:rFonts w:eastAsia="Times New Roman" w:cstheme="minorHAnsi"/>
          <w:i/>
          <w:iCs/>
          <w:sz w:val="24"/>
          <w:szCs w:val="24"/>
          <w:lang w:val="en-US" w:eastAsia="es-PE"/>
        </w:rPr>
        <w:t>Cita</w:t>
      </w:r>
      <w:proofErr w:type="spellEnd"/>
      <w:r w:rsidRPr="00103DA0">
        <w:rPr>
          <w:rFonts w:eastAsia="Times New Roman" w:cstheme="minorHAnsi"/>
          <w:i/>
          <w:iCs/>
          <w:sz w:val="24"/>
          <w:szCs w:val="24"/>
          <w:lang w:val="en-US" w:eastAsia="es-PE"/>
        </w:rPr>
        <w:t>: “Sustained effort and on-going international cooperation will be required to improve current structures and take full advantage of the impact of technology.”</w:t>
      </w:r>
      <w:r w:rsidRPr="00103DA0">
        <w:rPr>
          <w:rFonts w:eastAsia="Times New Roman" w:cstheme="minorHAnsi"/>
          <w:sz w:val="24"/>
          <w:szCs w:val="24"/>
          <w:lang w:val="en-US" w:eastAsia="es-PE"/>
        </w:rPr>
        <w:t xml:space="preserve"> </w:t>
      </w:r>
      <w:r w:rsidRPr="00103DA0">
        <w:rPr>
          <w:rFonts w:eastAsia="Times New Roman" w:cstheme="minorHAnsi"/>
          <w:sz w:val="24"/>
          <w:szCs w:val="24"/>
          <w:lang w:eastAsia="es-PE"/>
        </w:rPr>
        <w:t>(p. 2)</w:t>
      </w:r>
    </w:p>
    <w:p w14:paraId="16AD23C3" w14:textId="77777777" w:rsidR="004B25EC" w:rsidRPr="00103DA0" w:rsidRDefault="004B25EC" w:rsidP="00103DA0">
      <w:pPr>
        <w:jc w:val="both"/>
        <w:rPr>
          <w:rFonts w:cstheme="minorHAnsi"/>
          <w:sz w:val="24"/>
          <w:szCs w:val="24"/>
        </w:rPr>
      </w:pPr>
    </w:p>
    <w:sectPr w:rsidR="004B25EC" w:rsidRPr="00103DA0">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69C59" w14:textId="77777777" w:rsidR="00B75C31" w:rsidRDefault="00B75C31" w:rsidP="00103DA0">
      <w:pPr>
        <w:spacing w:after="0" w:line="240" w:lineRule="auto"/>
      </w:pPr>
      <w:r>
        <w:separator/>
      </w:r>
    </w:p>
  </w:endnote>
  <w:endnote w:type="continuationSeparator" w:id="0">
    <w:p w14:paraId="669AD100" w14:textId="77777777" w:rsidR="00B75C31" w:rsidRDefault="00B75C31" w:rsidP="00103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45152" w14:textId="77777777" w:rsidR="00B75C31" w:rsidRDefault="00B75C31" w:rsidP="00103DA0">
      <w:pPr>
        <w:spacing w:after="0" w:line="240" w:lineRule="auto"/>
      </w:pPr>
      <w:r>
        <w:separator/>
      </w:r>
    </w:p>
  </w:footnote>
  <w:footnote w:type="continuationSeparator" w:id="0">
    <w:p w14:paraId="469D6768" w14:textId="77777777" w:rsidR="00B75C31" w:rsidRDefault="00B75C31" w:rsidP="00103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7DB80" w14:textId="2E6AB907" w:rsidR="00103DA0" w:rsidRPr="00103DA0" w:rsidRDefault="00103DA0" w:rsidP="00103DA0">
    <w:pPr>
      <w:spacing w:after="0" w:line="240" w:lineRule="auto"/>
      <w:jc w:val="center"/>
      <w:rPr>
        <w:rFonts w:ascii="Times New Roman" w:eastAsia="Times New Roman" w:hAnsi="Times New Roman" w:cs="Times New Roman"/>
        <w:b/>
        <w:bCs/>
        <w:sz w:val="32"/>
        <w:szCs w:val="32"/>
        <w:lang w:val="en-US" w:eastAsia="es-PE"/>
      </w:rPr>
    </w:pPr>
    <w:r w:rsidRPr="00103DA0">
      <w:rPr>
        <w:b/>
        <w:bCs/>
        <w:sz w:val="28"/>
        <w:szCs w:val="28"/>
        <w:lang w:val="en-US"/>
      </w:rPr>
      <w:t xml:space="preserve">REUSUMEN DEL </w:t>
    </w:r>
    <w:r w:rsidR="00CE3D55">
      <w:rPr>
        <w:b/>
        <w:bCs/>
        <w:sz w:val="28"/>
        <w:szCs w:val="28"/>
        <w:lang w:val="en-US"/>
      </w:rPr>
      <w:t>LIBRO</w:t>
    </w:r>
    <w:r w:rsidRPr="00103DA0">
      <w:rPr>
        <w:b/>
        <w:bCs/>
        <w:sz w:val="28"/>
        <w:szCs w:val="28"/>
        <w:lang w:val="en-US"/>
      </w:rPr>
      <w:t xml:space="preserve"> “HIGHER EDUCATION IN THE EU: APPROACHES, ISSUES AND TRENDS”</w:t>
    </w:r>
  </w:p>
  <w:p w14:paraId="2254EB46" w14:textId="77777777" w:rsidR="00103DA0" w:rsidRPr="00103DA0" w:rsidRDefault="00103DA0">
    <w:pPr>
      <w:pStyle w:val="Encabezado"/>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DA0"/>
    <w:rsid w:val="00103DA0"/>
    <w:rsid w:val="004B25EC"/>
    <w:rsid w:val="00B75C31"/>
    <w:rsid w:val="00CE3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3470D"/>
  <w15:chartTrackingRefBased/>
  <w15:docId w15:val="{19E6E9FC-83A8-469B-AA1A-A81AD4BC4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103DA0"/>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103DA0"/>
    <w:rPr>
      <w:rFonts w:ascii="Times New Roman" w:eastAsia="Times New Roman" w:hAnsi="Times New Roman" w:cs="Times New Roman"/>
      <w:b/>
      <w:bCs/>
      <w:sz w:val="27"/>
      <w:szCs w:val="27"/>
      <w:lang w:eastAsia="es-PE"/>
    </w:rPr>
  </w:style>
  <w:style w:type="paragraph" w:styleId="NormalWeb">
    <w:name w:val="Normal (Web)"/>
    <w:basedOn w:val="Normal"/>
    <w:uiPriority w:val="99"/>
    <w:semiHidden/>
    <w:unhideWhenUsed/>
    <w:rsid w:val="00103DA0"/>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103DA0"/>
    <w:rPr>
      <w:b/>
      <w:bCs/>
    </w:rPr>
  </w:style>
  <w:style w:type="character" w:styleId="nfasis">
    <w:name w:val="Emphasis"/>
    <w:basedOn w:val="Fuentedeprrafopredeter"/>
    <w:uiPriority w:val="20"/>
    <w:qFormat/>
    <w:rsid w:val="00103DA0"/>
    <w:rPr>
      <w:i/>
      <w:iCs/>
    </w:rPr>
  </w:style>
  <w:style w:type="paragraph" w:styleId="Encabezado">
    <w:name w:val="header"/>
    <w:basedOn w:val="Normal"/>
    <w:link w:val="EncabezadoCar"/>
    <w:uiPriority w:val="99"/>
    <w:unhideWhenUsed/>
    <w:rsid w:val="00103DA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03DA0"/>
  </w:style>
  <w:style w:type="paragraph" w:styleId="Piedepgina">
    <w:name w:val="footer"/>
    <w:basedOn w:val="Normal"/>
    <w:link w:val="PiedepginaCar"/>
    <w:uiPriority w:val="99"/>
    <w:unhideWhenUsed/>
    <w:rsid w:val="00103DA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03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78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1092</Words>
  <Characters>6008</Characters>
  <Application>Microsoft Office Word</Application>
  <DocSecurity>0</DocSecurity>
  <Lines>50</Lines>
  <Paragraphs>14</Paragraphs>
  <ScaleCrop>false</ScaleCrop>
  <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INTELECTIA SAC</dc:creator>
  <cp:keywords/>
  <dc:description/>
  <cp:lastModifiedBy>INTELECTIA SAC</cp:lastModifiedBy>
  <cp:revision>2</cp:revision>
  <dcterms:created xsi:type="dcterms:W3CDTF">2025-07-24T13:33:00Z</dcterms:created>
  <dcterms:modified xsi:type="dcterms:W3CDTF">2025-07-24T13:44:00Z</dcterms:modified>
</cp:coreProperties>
</file>