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D6B" w14:textId="77777777" w:rsidR="00BB0712" w:rsidRPr="00BB0712" w:rsidRDefault="00BB0712" w:rsidP="00BB0712">
      <w:pPr>
        <w:pStyle w:val="whitespace-normal"/>
        <w:jc w:val="both"/>
        <w:rPr>
          <w:rFonts w:asciiTheme="minorHAnsi" w:hAnsiTheme="minorHAnsi" w:cstheme="minorHAnsi"/>
          <w:b/>
          <w:bCs/>
        </w:rPr>
      </w:pPr>
      <w:r w:rsidRPr="00BB0712">
        <w:rPr>
          <w:rFonts w:asciiTheme="minorHAnsi" w:hAnsiTheme="minorHAnsi" w:cstheme="minorHAnsi"/>
          <w:b/>
          <w:bCs/>
        </w:rPr>
        <w:t>Módulo 1: Fundamentos estratégicos de la gestión por procesos</w:t>
      </w:r>
    </w:p>
    <w:p w14:paraId="7B429364" w14:textId="77777777" w:rsidR="00BB0712" w:rsidRPr="00BB0712" w:rsidRDefault="00BB0712" w:rsidP="00BB0712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es el nivel de madurez de la gestión por procesos y por qué es importante medirlo?</w:t>
      </w:r>
    </w:p>
    <w:p w14:paraId="441D5525" w14:textId="77777777" w:rsidR="00BB0712" w:rsidRPr="00BB0712" w:rsidRDefault="00BB0712" w:rsidP="00BB0712">
      <w:pPr>
        <w:pStyle w:val="whitespace-normal"/>
        <w:jc w:val="both"/>
        <w:rPr>
          <w:rFonts w:asciiTheme="minorHAnsi" w:hAnsiTheme="minorHAnsi" w:cstheme="minorHAnsi"/>
        </w:rPr>
      </w:pPr>
    </w:p>
    <w:p w14:paraId="345842FC" w14:textId="77777777" w:rsidR="00BB0712" w:rsidRPr="00BB0712" w:rsidRDefault="00BB0712" w:rsidP="00BB0712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Describe los cinco niveles de madurez en la gestión por procesos según el modelo CMMI.</w:t>
      </w:r>
    </w:p>
    <w:p w14:paraId="390E8F85" w14:textId="77777777" w:rsidR="00BB0712" w:rsidRPr="00BB0712" w:rsidRDefault="00BB0712" w:rsidP="00BB0712">
      <w:pPr>
        <w:pStyle w:val="whitespace-normal"/>
        <w:jc w:val="both"/>
        <w:rPr>
          <w:rFonts w:asciiTheme="minorHAnsi" w:hAnsiTheme="minorHAnsi" w:cstheme="minorHAnsi"/>
        </w:rPr>
      </w:pPr>
    </w:p>
    <w:p w14:paraId="7EA4B036" w14:textId="77777777" w:rsidR="00BB0712" w:rsidRPr="00BB0712" w:rsidRDefault="00BB0712" w:rsidP="00BB0712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es el análisis FODA y cómo se relaciona con la gestión por procesos?</w:t>
      </w:r>
    </w:p>
    <w:p w14:paraId="0F091217" w14:textId="77777777" w:rsidR="00BB0712" w:rsidRPr="00BB0712" w:rsidRDefault="00BB0712" w:rsidP="00BB0712">
      <w:pPr>
        <w:pStyle w:val="whitespace-normal"/>
        <w:jc w:val="both"/>
        <w:rPr>
          <w:rFonts w:asciiTheme="minorHAnsi" w:hAnsiTheme="minorHAnsi" w:cstheme="minorHAnsi"/>
        </w:rPr>
      </w:pPr>
    </w:p>
    <w:p w14:paraId="6A07A33E" w14:textId="77777777" w:rsidR="00BB0712" w:rsidRPr="00BB0712" w:rsidRDefault="00BB0712" w:rsidP="00BB0712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¿Cuál es la diferencia entre la visión y la misión de una organización y cómo se relacionan con la estrategia de procesos?</w:t>
      </w:r>
    </w:p>
    <w:p w14:paraId="420E65C7" w14:textId="77777777" w:rsidR="00BB0712" w:rsidRPr="00BB0712" w:rsidRDefault="00BB0712" w:rsidP="00BB0712">
      <w:pPr>
        <w:jc w:val="both"/>
        <w:rPr>
          <w:rFonts w:cstheme="minorHAnsi"/>
          <w:sz w:val="24"/>
          <w:szCs w:val="24"/>
        </w:rPr>
      </w:pPr>
    </w:p>
    <w:p w14:paraId="3D635E7B" w14:textId="61FB4F50" w:rsidR="00BB0712" w:rsidRDefault="00BB0712" w:rsidP="00BB0712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Explica cómo los procesos pueden alinearse con la estrategia organizacional a través de pilares y ejes de acción.</w:t>
      </w:r>
    </w:p>
    <w:p w14:paraId="0E68F464" w14:textId="77777777" w:rsidR="00C34C53" w:rsidRDefault="00C34C53" w:rsidP="00C34C53">
      <w:pPr>
        <w:pStyle w:val="Prrafodelista"/>
        <w:rPr>
          <w:rFonts w:cstheme="minorHAnsi"/>
        </w:rPr>
      </w:pPr>
    </w:p>
    <w:p w14:paraId="011E9C90" w14:textId="4977D9B0" w:rsidR="00C34C53" w:rsidRDefault="00C34C53" w:rsidP="00C34C53">
      <w:pPr>
        <w:pStyle w:val="whitespace-normal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VERDADERO O FALSO</w:t>
      </w:r>
    </w:p>
    <w:p w14:paraId="5BFAFC4B" w14:textId="77777777" w:rsidR="00C34C53" w:rsidRPr="00CA783B" w:rsidRDefault="00C34C53" w:rsidP="00C34C5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1.1 Diagnóstico de Nivel de Madurez</w:t>
      </w:r>
    </w:p>
    <w:p w14:paraId="46ADA017" w14:textId="77777777" w:rsidR="00C34C53" w:rsidRPr="00CA783B" w:rsidRDefault="00C34C53" w:rsidP="00C34C5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CA783B">
        <w:rPr>
          <w:rFonts w:eastAsia="Times New Roman" w:cstheme="minorHAnsi"/>
          <w:sz w:val="24"/>
          <w:szCs w:val="24"/>
          <w:lang w:eastAsia="es-PE"/>
        </w:rPr>
        <w:t xml:space="preserve">El nivel "Inicial" del diagnóstico de madurez se caracteriza por procesos </w:t>
      </w:r>
      <w:proofErr w:type="gramStart"/>
      <w:r w:rsidRPr="00CA783B">
        <w:rPr>
          <w:rFonts w:eastAsia="Times New Roman" w:cstheme="minorHAnsi"/>
          <w:sz w:val="24"/>
          <w:szCs w:val="24"/>
          <w:lang w:eastAsia="es-PE"/>
        </w:rPr>
        <w:t>automatizados</w:t>
      </w:r>
      <w:proofErr w:type="gramEnd"/>
      <w:r w:rsidRPr="00CA783B">
        <w:rPr>
          <w:rFonts w:eastAsia="Times New Roman" w:cstheme="minorHAnsi"/>
          <w:sz w:val="24"/>
          <w:szCs w:val="24"/>
          <w:lang w:eastAsia="es-PE"/>
        </w:rPr>
        <w:t xml:space="preserve"> pero sin estandarización formal.</w:t>
      </w:r>
    </w:p>
    <w:p w14:paraId="0DE359D7" w14:textId="77777777" w:rsidR="00C34C53" w:rsidRPr="00CA783B" w:rsidRDefault="00C34C53" w:rsidP="00C34C5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CA783B">
        <w:rPr>
          <w:rFonts w:eastAsia="Times New Roman" w:cstheme="minorHAnsi"/>
          <w:sz w:val="24"/>
          <w:szCs w:val="24"/>
          <w:lang w:eastAsia="es-PE"/>
        </w:rPr>
        <w:t>En el nivel "Excelencia", los procesos son flexibles, anticipan necesidades del mercado y están completamente alineados a la estrategia.</w:t>
      </w:r>
    </w:p>
    <w:p w14:paraId="65FA4B85" w14:textId="77777777" w:rsidR="00C34C53" w:rsidRPr="00CA783B" w:rsidRDefault="00C34C53" w:rsidP="00C34C5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CA783B">
        <w:rPr>
          <w:rFonts w:eastAsia="Times New Roman" w:cstheme="minorHAnsi"/>
          <w:sz w:val="24"/>
          <w:szCs w:val="24"/>
          <w:lang w:eastAsia="es-PE"/>
        </w:rPr>
        <w:t>El diagnóstico de madurez evalúa dimensiones como cultura organizacional, herramientas, metodologías y políticas.</w:t>
      </w:r>
    </w:p>
    <w:p w14:paraId="4E3012EB" w14:textId="77777777" w:rsidR="00C34C53" w:rsidRDefault="00C34C53" w:rsidP="00C34C5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1.2 Análisis FODA</w:t>
      </w:r>
    </w:p>
    <w:p w14:paraId="2552A6E7" w14:textId="77777777" w:rsidR="00C34C53" w:rsidRPr="00CA783B" w:rsidRDefault="00C34C53" w:rsidP="00C34C5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CA783B">
        <w:rPr>
          <w:rFonts w:eastAsia="Times New Roman" w:cstheme="minorHAnsi"/>
          <w:sz w:val="24"/>
          <w:szCs w:val="24"/>
          <w:lang w:eastAsia="es-PE"/>
        </w:rPr>
        <w:t>El análisis FODA en gestión por procesos permite identificar exclusivamente amenazas externas a la organización.</w:t>
      </w:r>
    </w:p>
    <w:p w14:paraId="6ED9A41D" w14:textId="77777777" w:rsidR="00C34C53" w:rsidRPr="00CA783B" w:rsidRDefault="00C34C53" w:rsidP="00C34C5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CA783B">
        <w:rPr>
          <w:rFonts w:eastAsia="Times New Roman" w:cstheme="minorHAnsi"/>
          <w:sz w:val="24"/>
          <w:szCs w:val="24"/>
          <w:lang w:eastAsia="es-PE"/>
        </w:rPr>
        <w:t>El FODA cuantitativo otorga puntuaciones a cada elemento para priorizar la toma de decisiones estratégicas.</w:t>
      </w:r>
    </w:p>
    <w:p w14:paraId="2E79CF38" w14:textId="77777777" w:rsidR="00C34C53" w:rsidRDefault="00C34C53" w:rsidP="00C34C5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1.3 Análisis de visión, misión y pilares</w:t>
      </w:r>
    </w:p>
    <w:p w14:paraId="120F535D" w14:textId="77777777" w:rsidR="00C34C53" w:rsidRDefault="00C34C53" w:rsidP="00C34C5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CA783B">
        <w:rPr>
          <w:rFonts w:eastAsia="Times New Roman" w:cstheme="minorHAnsi"/>
          <w:sz w:val="24"/>
          <w:szCs w:val="24"/>
          <w:lang w:eastAsia="es-PE"/>
        </w:rPr>
        <w:lastRenderedPageBreak/>
        <w:t>La estrategia de valor de una empresa debe basarse en múltiples enfoques (intimidad con el cliente, liderazgo del producto y excelencia operacional) de forma simultánea.</w:t>
      </w:r>
    </w:p>
    <w:p w14:paraId="70FDDD37" w14:textId="77777777" w:rsidR="00C34C53" w:rsidRPr="00CA783B" w:rsidRDefault="00C34C53" w:rsidP="00C34C5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CA783B">
        <w:rPr>
          <w:rFonts w:eastAsia="Times New Roman" w:cstheme="minorHAnsi"/>
          <w:sz w:val="24"/>
          <w:szCs w:val="24"/>
          <w:lang w:eastAsia="es-PE"/>
        </w:rPr>
        <w:t>La definición de misión, visión y pilares estratégicos permite construir procesos orientados al posicionamiento futuro.</w:t>
      </w:r>
    </w:p>
    <w:p w14:paraId="561C7D4B" w14:textId="77777777" w:rsidR="00C34C53" w:rsidRDefault="00C34C53" w:rsidP="00C34C5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1.4 Enlace entre Estrategia y Procesos</w:t>
      </w:r>
    </w:p>
    <w:p w14:paraId="1DFF78E5" w14:textId="77777777" w:rsidR="00C34C53" w:rsidRDefault="00C34C53" w:rsidP="00C34C5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CA783B">
        <w:rPr>
          <w:rFonts w:eastAsia="Times New Roman" w:cstheme="minorHAnsi"/>
          <w:sz w:val="24"/>
          <w:szCs w:val="24"/>
          <w:lang w:eastAsia="es-PE"/>
        </w:rPr>
        <w:t>El modelo sugiere que cada organización debe dominar una única estrategia de valor para lograr ventaja competitiva.</w:t>
      </w:r>
    </w:p>
    <w:p w14:paraId="6CCDAA14" w14:textId="77777777" w:rsidR="00C34C53" w:rsidRPr="00CA783B" w:rsidRDefault="00C34C53" w:rsidP="00C34C5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CA783B">
        <w:rPr>
          <w:rFonts w:eastAsia="Times New Roman" w:cstheme="minorHAnsi"/>
          <w:sz w:val="24"/>
          <w:szCs w:val="24"/>
          <w:lang w:eastAsia="es-PE"/>
        </w:rPr>
        <w:t>Los pilares estratégicos no tienen relación con los procesos operativos de la organización.</w:t>
      </w:r>
    </w:p>
    <w:p w14:paraId="15E70D6E" w14:textId="47CCCF98" w:rsidR="00C34C53" w:rsidRDefault="00C34C53" w:rsidP="00C34C53">
      <w:pPr>
        <w:pStyle w:val="whitespace-normal"/>
        <w:jc w:val="both"/>
        <w:rPr>
          <w:rFonts w:asciiTheme="minorHAnsi" w:hAnsiTheme="minorHAnsi" w:cstheme="minorHAnsi"/>
        </w:rPr>
      </w:pPr>
    </w:p>
    <w:p w14:paraId="1744E572" w14:textId="4922F71E" w:rsidR="00C34C53" w:rsidRDefault="00C34C53" w:rsidP="00C34C53">
      <w:pPr>
        <w:pStyle w:val="whitespace-normal"/>
        <w:jc w:val="both"/>
        <w:rPr>
          <w:rFonts w:asciiTheme="minorHAnsi" w:hAnsiTheme="minorHAnsi" w:cstheme="minorHAnsi"/>
        </w:rPr>
      </w:pPr>
    </w:p>
    <w:p w14:paraId="5D6F1649" w14:textId="303B2EA0" w:rsidR="00C34C53" w:rsidRDefault="00C34C53" w:rsidP="00C34C53">
      <w:pPr>
        <w:pStyle w:val="whitespace-normal"/>
        <w:jc w:val="both"/>
        <w:rPr>
          <w:rFonts w:asciiTheme="minorHAnsi" w:hAnsiTheme="minorHAnsi" w:cstheme="minorHAnsi"/>
        </w:rPr>
      </w:pPr>
    </w:p>
    <w:p w14:paraId="697872F5" w14:textId="4CDF221B" w:rsidR="00C34C53" w:rsidRDefault="00C34C53" w:rsidP="00C34C53">
      <w:pPr>
        <w:pStyle w:val="whitespace-normal"/>
        <w:jc w:val="both"/>
        <w:rPr>
          <w:rFonts w:asciiTheme="minorHAnsi" w:hAnsiTheme="minorHAnsi" w:cstheme="minorHAnsi"/>
        </w:rPr>
      </w:pPr>
    </w:p>
    <w:p w14:paraId="272C3E60" w14:textId="6761B72C" w:rsidR="00C34C53" w:rsidRDefault="00C34C53" w:rsidP="00C34C53">
      <w:pPr>
        <w:pStyle w:val="whitespace-normal"/>
        <w:jc w:val="both"/>
        <w:rPr>
          <w:rFonts w:asciiTheme="minorHAnsi" w:hAnsiTheme="minorHAnsi" w:cstheme="minorHAnsi"/>
        </w:rPr>
      </w:pPr>
    </w:p>
    <w:p w14:paraId="2ABD0C12" w14:textId="3184D666" w:rsidR="00C34C53" w:rsidRDefault="00C34C53" w:rsidP="00C34C53">
      <w:pPr>
        <w:pStyle w:val="whitespace-normal"/>
        <w:jc w:val="both"/>
        <w:rPr>
          <w:rFonts w:asciiTheme="minorHAnsi" w:hAnsiTheme="minorHAnsi" w:cstheme="minorHAnsi"/>
        </w:rPr>
      </w:pPr>
    </w:p>
    <w:p w14:paraId="5021C1F3" w14:textId="3A1A5847" w:rsidR="00C34C53" w:rsidRDefault="00C34C53" w:rsidP="00C34C53">
      <w:pPr>
        <w:pStyle w:val="whitespace-normal"/>
        <w:jc w:val="both"/>
        <w:rPr>
          <w:rFonts w:asciiTheme="minorHAnsi" w:hAnsiTheme="minorHAnsi" w:cstheme="minorHAnsi"/>
        </w:rPr>
      </w:pPr>
    </w:p>
    <w:p w14:paraId="1FB95CD5" w14:textId="77777777" w:rsidR="00C34C53" w:rsidRDefault="00C34C53" w:rsidP="00C34C53">
      <w:pPr>
        <w:pStyle w:val="whitespace-normal"/>
        <w:jc w:val="both"/>
        <w:rPr>
          <w:rFonts w:asciiTheme="minorHAnsi" w:hAnsiTheme="minorHAnsi" w:cstheme="minorHAnsi"/>
        </w:rPr>
      </w:pPr>
    </w:p>
    <w:p w14:paraId="43FAA58D" w14:textId="01ADED31" w:rsidR="00C34C53" w:rsidRDefault="00C34C53" w:rsidP="00C34C53">
      <w:pPr>
        <w:pStyle w:val="whitespace-normal"/>
        <w:jc w:val="both"/>
        <w:rPr>
          <w:rFonts w:asciiTheme="minorHAnsi" w:hAnsiTheme="minorHAnsi" w:cstheme="minorHAnsi"/>
        </w:rPr>
      </w:pPr>
    </w:p>
    <w:p w14:paraId="2D50EB8B" w14:textId="77777777" w:rsidR="00794CA2" w:rsidRDefault="00794CA2">
      <w:pPr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>
        <w:rPr>
          <w:rFonts w:cstheme="minorHAnsi"/>
          <w:b/>
          <w:bCs/>
          <w:i/>
          <w:iCs/>
        </w:rPr>
        <w:br w:type="page"/>
      </w:r>
    </w:p>
    <w:p w14:paraId="0871118C" w14:textId="1462CCA1" w:rsidR="00C34C53" w:rsidRPr="00C34C53" w:rsidRDefault="00C34C53" w:rsidP="00C34C53">
      <w:pPr>
        <w:pStyle w:val="whitespace-normal"/>
        <w:jc w:val="both"/>
        <w:rPr>
          <w:rFonts w:asciiTheme="minorHAnsi" w:hAnsiTheme="minorHAnsi" w:cstheme="minorHAnsi"/>
          <w:b/>
          <w:bCs/>
          <w:i/>
          <w:iCs/>
        </w:rPr>
      </w:pPr>
      <w:r w:rsidRPr="00C34C53">
        <w:rPr>
          <w:rFonts w:asciiTheme="minorHAnsi" w:hAnsiTheme="minorHAnsi" w:cstheme="minorHAnsi"/>
          <w:b/>
          <w:bCs/>
          <w:i/>
          <w:iCs/>
        </w:rPr>
        <w:lastRenderedPageBreak/>
        <w:t>RESPUESTAS</w:t>
      </w:r>
    </w:p>
    <w:p w14:paraId="2FCA092B" w14:textId="77777777" w:rsidR="00C34C53" w:rsidRPr="00CA783B" w:rsidRDefault="00C34C53" w:rsidP="00C34C5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74CE7123" w14:textId="77777777" w:rsidR="00C34C53" w:rsidRPr="00CA783B" w:rsidRDefault="00C34C53" w:rsidP="00C34C5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2ED74699" w14:textId="77777777" w:rsidR="00C34C53" w:rsidRPr="00CA783B" w:rsidRDefault="00C34C53" w:rsidP="00C34C5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13BC313A" w14:textId="77777777" w:rsidR="00C34C53" w:rsidRPr="00CA783B" w:rsidRDefault="00C34C53" w:rsidP="00C34C5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35B94926" w14:textId="77777777" w:rsidR="00C34C53" w:rsidRPr="00CA783B" w:rsidRDefault="00C34C53" w:rsidP="00C34C5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203810CC" w14:textId="77777777" w:rsidR="00C34C53" w:rsidRPr="00CA783B" w:rsidRDefault="00C34C53" w:rsidP="00C34C5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21E91B5B" w14:textId="77777777" w:rsidR="00C34C53" w:rsidRPr="00CA783B" w:rsidRDefault="00C34C53" w:rsidP="00C34C5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06CB4336" w14:textId="77777777" w:rsidR="00C34C53" w:rsidRPr="00CA783B" w:rsidRDefault="00C34C53" w:rsidP="00C34C5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1DAA5EC8" w14:textId="01CA6DA5" w:rsidR="00BB0712" w:rsidRPr="00C34C53" w:rsidRDefault="00C34C53" w:rsidP="000757A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sectPr w:rsidR="00BB0712" w:rsidRPr="00C34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8F5"/>
    <w:multiLevelType w:val="multilevel"/>
    <w:tmpl w:val="D350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46024"/>
    <w:multiLevelType w:val="multilevel"/>
    <w:tmpl w:val="09E6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A28C0"/>
    <w:multiLevelType w:val="multilevel"/>
    <w:tmpl w:val="31224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A560A"/>
    <w:multiLevelType w:val="multilevel"/>
    <w:tmpl w:val="FFEA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731A2"/>
    <w:multiLevelType w:val="multilevel"/>
    <w:tmpl w:val="65144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924E8"/>
    <w:multiLevelType w:val="multilevel"/>
    <w:tmpl w:val="47CA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954C7"/>
    <w:multiLevelType w:val="multilevel"/>
    <w:tmpl w:val="44364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F3779E"/>
    <w:multiLevelType w:val="multilevel"/>
    <w:tmpl w:val="60CE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D5373"/>
    <w:multiLevelType w:val="multilevel"/>
    <w:tmpl w:val="49C6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D44573"/>
    <w:multiLevelType w:val="multilevel"/>
    <w:tmpl w:val="45FA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B09D4"/>
    <w:multiLevelType w:val="multilevel"/>
    <w:tmpl w:val="9648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1D2DA3"/>
    <w:multiLevelType w:val="multilevel"/>
    <w:tmpl w:val="F19E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1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12"/>
    <w:rsid w:val="004B25EC"/>
    <w:rsid w:val="00794CA2"/>
    <w:rsid w:val="00BB0712"/>
    <w:rsid w:val="00C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758D3"/>
  <w15:chartTrackingRefBased/>
  <w15:docId w15:val="{C227B0D9-C76E-488F-AB89-1DFBF6FA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BB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C34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2025-05-22T02:57:00Z</dcterms:created>
  <dcterms:modified xsi:type="dcterms:W3CDTF">2025-05-22T03:59:00Z</dcterms:modified>
</cp:coreProperties>
</file>